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仿宋_GB2312"/>
          <w:b/>
          <w:sz w:val="32"/>
          <w:szCs w:val="32"/>
        </w:rPr>
      </w:pPr>
    </w:p>
    <w:p>
      <w:pPr>
        <w:jc w:val="center"/>
        <w:rPr>
          <w:rFonts w:eastAsia="黑体"/>
          <w:sz w:val="72"/>
          <w:szCs w:val="72"/>
        </w:rPr>
      </w:pPr>
    </w:p>
    <w:p>
      <w:pPr>
        <w:jc w:val="center"/>
        <w:rPr>
          <w:rFonts w:eastAsia="黑体"/>
          <w:sz w:val="72"/>
          <w:szCs w:val="72"/>
        </w:rPr>
      </w:pPr>
    </w:p>
    <w:p>
      <w:pPr>
        <w:jc w:val="center"/>
        <w:rPr>
          <w:rFonts w:eastAsia="黑体"/>
          <w:sz w:val="72"/>
          <w:szCs w:val="72"/>
        </w:rPr>
      </w:pPr>
    </w:p>
    <w:p>
      <w:pPr>
        <w:jc w:val="center"/>
        <w:rPr>
          <w:rFonts w:eastAsia="黑体"/>
          <w:sz w:val="72"/>
          <w:szCs w:val="72"/>
        </w:rPr>
      </w:pPr>
    </w:p>
    <w:p>
      <w:pPr>
        <w:jc w:val="center"/>
        <w:rPr>
          <w:rFonts w:eastAsia="黑体"/>
          <w:sz w:val="72"/>
          <w:szCs w:val="72"/>
        </w:rPr>
      </w:pPr>
      <w:r>
        <w:rPr>
          <w:rFonts w:eastAsia="黑体"/>
          <w:sz w:val="72"/>
          <w:szCs w:val="72"/>
        </w:rPr>
        <w:t>2022年度</w:t>
      </w:r>
      <w:r>
        <w:rPr>
          <w:rFonts w:hint="eastAsia" w:eastAsia="黑体"/>
          <w:sz w:val="72"/>
          <w:szCs w:val="72"/>
        </w:rPr>
        <w:t>部门</w:t>
      </w:r>
      <w:r>
        <w:rPr>
          <w:rFonts w:eastAsia="黑体"/>
          <w:sz w:val="72"/>
          <w:szCs w:val="72"/>
        </w:rPr>
        <w:t>决算</w:t>
      </w:r>
      <w:r>
        <w:rPr>
          <w:rFonts w:hint="eastAsia" w:ascii="黑体" w:eastAsia="黑体"/>
          <w:sz w:val="72"/>
          <w:szCs w:val="72"/>
          <w:lang w:eastAsia="zh-CN"/>
        </w:rPr>
        <w:t>公开</w:t>
      </w:r>
    </w:p>
    <w:p>
      <w:pPr>
        <w:jc w:val="center"/>
        <w:rPr>
          <w:rFonts w:eastAsia="黑体"/>
          <w:sz w:val="52"/>
          <w:szCs w:val="52"/>
        </w:rPr>
      </w:pPr>
    </w:p>
    <w:p>
      <w:pPr>
        <w:jc w:val="center"/>
        <w:rPr>
          <w:rFonts w:eastAsia="黑体"/>
          <w:sz w:val="52"/>
          <w:szCs w:val="52"/>
        </w:rPr>
      </w:pPr>
    </w:p>
    <w:p>
      <w:pPr>
        <w:jc w:val="center"/>
        <w:rPr>
          <w:rFonts w:eastAsia="黑体"/>
          <w:sz w:val="52"/>
          <w:szCs w:val="52"/>
        </w:rPr>
      </w:pPr>
    </w:p>
    <w:p>
      <w:pPr>
        <w:jc w:val="center"/>
        <w:rPr>
          <w:rFonts w:eastAsia="黑体"/>
          <w:sz w:val="52"/>
          <w:szCs w:val="52"/>
        </w:rPr>
      </w:pPr>
    </w:p>
    <w:p>
      <w:pPr>
        <w:jc w:val="center"/>
        <w:rPr>
          <w:rFonts w:eastAsia="黑体"/>
          <w:sz w:val="32"/>
          <w:szCs w:val="32"/>
        </w:rPr>
        <w:sectPr>
          <w:footerReference r:id="rId4" w:type="first"/>
          <w:footerReference r:id="rId3" w:type="default"/>
          <w:pgSz w:w="16838" w:h="11906" w:orient="landscape"/>
          <w:pgMar w:top="1134" w:right="1134" w:bottom="1134" w:left="1134" w:header="851" w:footer="567" w:gutter="0"/>
          <w:pgNumType w:start="1"/>
          <w:cols w:space="720" w:num="1"/>
          <w:titlePg/>
          <w:docGrid w:type="linesAndChars" w:linePitch="312" w:charSpace="0"/>
        </w:sectPr>
      </w:pPr>
    </w:p>
    <w:p>
      <w:pPr>
        <w:spacing w:line="500" w:lineRule="exact"/>
        <w:ind w:firstLine="645"/>
        <w:jc w:val="center"/>
        <w:rPr>
          <w:b/>
          <w:bCs/>
          <w:kern w:val="0"/>
          <w:sz w:val="44"/>
          <w:szCs w:val="36"/>
        </w:rPr>
      </w:pPr>
      <w:r>
        <w:rPr>
          <w:b/>
          <w:bCs/>
          <w:kern w:val="0"/>
          <w:sz w:val="44"/>
          <w:szCs w:val="36"/>
        </w:rPr>
        <w:t>目    录</w:t>
      </w:r>
    </w:p>
    <w:p>
      <w:pPr>
        <w:spacing w:line="500" w:lineRule="exact"/>
        <w:ind w:firstLine="645"/>
        <w:jc w:val="center"/>
        <w:rPr>
          <w:b/>
          <w:bCs/>
          <w:kern w:val="0"/>
          <w:sz w:val="36"/>
          <w:szCs w:val="36"/>
        </w:rPr>
      </w:pPr>
    </w:p>
    <w:p>
      <w:pPr>
        <w:tabs>
          <w:tab w:val="center" w:pos="6979"/>
        </w:tabs>
        <w:spacing w:line="500" w:lineRule="exact"/>
        <w:ind w:firstLine="1600" w:firstLineChars="400"/>
        <w:jc w:val="left"/>
        <w:rPr>
          <w:bCs/>
          <w:spacing w:val="40"/>
          <w:kern w:val="0"/>
          <w:sz w:val="32"/>
          <w:szCs w:val="32"/>
        </w:rPr>
      </w:pPr>
      <w:r>
        <w:rPr>
          <w:bCs/>
          <w:spacing w:val="40"/>
          <w:kern w:val="0"/>
          <w:sz w:val="32"/>
          <w:szCs w:val="32"/>
        </w:rPr>
        <w:t>第一部分 2022年度部门决算报表</w:t>
      </w:r>
    </w:p>
    <w:p>
      <w:pPr>
        <w:tabs>
          <w:tab w:val="center" w:pos="6979"/>
        </w:tabs>
        <w:spacing w:line="500" w:lineRule="exact"/>
        <w:ind w:firstLine="2400" w:firstLineChars="600"/>
        <w:jc w:val="left"/>
        <w:rPr>
          <w:rFonts w:eastAsia="仿宋_GB2312"/>
          <w:spacing w:val="40"/>
          <w:sz w:val="32"/>
          <w:szCs w:val="32"/>
        </w:rPr>
      </w:pPr>
      <w:r>
        <w:rPr>
          <w:rFonts w:eastAsia="仿宋_GB2312"/>
          <w:bCs/>
          <w:spacing w:val="40"/>
          <w:kern w:val="0"/>
          <w:sz w:val="32"/>
          <w:szCs w:val="32"/>
        </w:rPr>
        <w:t>一、收入支出决算总表</w:t>
      </w:r>
    </w:p>
    <w:p>
      <w:pPr>
        <w:tabs>
          <w:tab w:val="center" w:pos="6979"/>
        </w:tabs>
        <w:spacing w:line="500" w:lineRule="exact"/>
        <w:ind w:firstLine="2400" w:firstLineChars="600"/>
        <w:jc w:val="left"/>
        <w:rPr>
          <w:rFonts w:eastAsia="仿宋_GB2312"/>
          <w:bCs/>
          <w:spacing w:val="40"/>
          <w:kern w:val="0"/>
          <w:sz w:val="32"/>
          <w:szCs w:val="32"/>
        </w:rPr>
      </w:pPr>
      <w:r>
        <w:rPr>
          <w:rFonts w:eastAsia="仿宋_GB2312"/>
          <w:bCs/>
          <w:spacing w:val="40"/>
          <w:kern w:val="0"/>
          <w:sz w:val="32"/>
          <w:szCs w:val="32"/>
        </w:rPr>
        <w:t>二、收入决算表</w:t>
      </w:r>
    </w:p>
    <w:p>
      <w:pPr>
        <w:tabs>
          <w:tab w:val="center" w:pos="6979"/>
        </w:tabs>
        <w:spacing w:line="500" w:lineRule="exact"/>
        <w:ind w:firstLine="2400" w:firstLineChars="600"/>
        <w:jc w:val="left"/>
        <w:rPr>
          <w:rFonts w:eastAsia="仿宋_GB2312"/>
          <w:bCs/>
          <w:spacing w:val="40"/>
          <w:kern w:val="0"/>
          <w:sz w:val="32"/>
          <w:szCs w:val="32"/>
        </w:rPr>
      </w:pPr>
      <w:r>
        <w:rPr>
          <w:rFonts w:eastAsia="仿宋_GB2312"/>
          <w:bCs/>
          <w:spacing w:val="40"/>
          <w:kern w:val="0"/>
          <w:sz w:val="32"/>
          <w:szCs w:val="32"/>
        </w:rPr>
        <w:t>三、支出决算表</w:t>
      </w:r>
    </w:p>
    <w:p>
      <w:pPr>
        <w:tabs>
          <w:tab w:val="center" w:pos="6979"/>
        </w:tabs>
        <w:spacing w:line="500" w:lineRule="exact"/>
        <w:ind w:firstLine="2400" w:firstLineChars="600"/>
        <w:jc w:val="left"/>
        <w:rPr>
          <w:rFonts w:eastAsia="仿宋_GB2312"/>
          <w:bCs/>
          <w:spacing w:val="40"/>
          <w:kern w:val="0"/>
          <w:sz w:val="32"/>
          <w:szCs w:val="32"/>
        </w:rPr>
      </w:pPr>
      <w:r>
        <w:rPr>
          <w:rFonts w:eastAsia="仿宋_GB2312"/>
          <w:bCs/>
          <w:spacing w:val="40"/>
          <w:kern w:val="0"/>
          <w:sz w:val="32"/>
          <w:szCs w:val="32"/>
        </w:rPr>
        <w:t>四、财政拨款收入支出决算总表</w:t>
      </w:r>
    </w:p>
    <w:p>
      <w:pPr>
        <w:tabs>
          <w:tab w:val="center" w:pos="6979"/>
        </w:tabs>
        <w:spacing w:line="500" w:lineRule="exact"/>
        <w:ind w:firstLine="2400" w:firstLineChars="600"/>
        <w:jc w:val="left"/>
        <w:rPr>
          <w:rFonts w:eastAsia="仿宋_GB2312"/>
          <w:bCs/>
          <w:spacing w:val="40"/>
          <w:kern w:val="0"/>
          <w:sz w:val="32"/>
          <w:szCs w:val="32"/>
        </w:rPr>
      </w:pPr>
      <w:r>
        <w:rPr>
          <w:rFonts w:eastAsia="仿宋_GB2312"/>
          <w:bCs/>
          <w:spacing w:val="40"/>
          <w:kern w:val="0"/>
          <w:sz w:val="32"/>
          <w:szCs w:val="32"/>
        </w:rPr>
        <w:t>五、一般公共预算财政拨款收入支出决算表</w:t>
      </w:r>
    </w:p>
    <w:p>
      <w:pPr>
        <w:tabs>
          <w:tab w:val="center" w:pos="6979"/>
        </w:tabs>
        <w:spacing w:line="500" w:lineRule="exact"/>
        <w:ind w:firstLine="2400" w:firstLineChars="600"/>
        <w:jc w:val="left"/>
        <w:rPr>
          <w:rFonts w:eastAsia="仿宋_GB2312"/>
          <w:bCs/>
          <w:spacing w:val="40"/>
          <w:kern w:val="0"/>
          <w:sz w:val="32"/>
          <w:szCs w:val="32"/>
        </w:rPr>
      </w:pPr>
      <w:r>
        <w:rPr>
          <w:rFonts w:eastAsia="仿宋_GB2312"/>
          <w:bCs/>
          <w:spacing w:val="40"/>
          <w:kern w:val="0"/>
          <w:sz w:val="32"/>
          <w:szCs w:val="32"/>
        </w:rPr>
        <w:t>六、一般公共预算财政拨款支出决算表</w:t>
      </w:r>
    </w:p>
    <w:p>
      <w:pPr>
        <w:tabs>
          <w:tab w:val="center" w:pos="6979"/>
        </w:tabs>
        <w:spacing w:line="500" w:lineRule="exact"/>
        <w:ind w:firstLine="2400" w:firstLineChars="600"/>
        <w:jc w:val="left"/>
        <w:rPr>
          <w:rFonts w:eastAsia="仿宋_GB2312"/>
          <w:bCs/>
          <w:spacing w:val="40"/>
          <w:kern w:val="0"/>
          <w:sz w:val="32"/>
          <w:szCs w:val="32"/>
        </w:rPr>
      </w:pPr>
      <w:r>
        <w:rPr>
          <w:rFonts w:eastAsia="仿宋_GB2312"/>
          <w:bCs/>
          <w:spacing w:val="40"/>
          <w:kern w:val="0"/>
          <w:sz w:val="32"/>
          <w:szCs w:val="32"/>
        </w:rPr>
        <w:t>七、一般公共预算财政拨款基本支出决算表</w:t>
      </w:r>
    </w:p>
    <w:p>
      <w:pPr>
        <w:tabs>
          <w:tab w:val="center" w:pos="6979"/>
        </w:tabs>
        <w:spacing w:line="500" w:lineRule="exact"/>
        <w:ind w:firstLine="2400" w:firstLineChars="600"/>
        <w:jc w:val="left"/>
        <w:rPr>
          <w:rFonts w:eastAsia="仿宋_GB2312"/>
          <w:bCs/>
          <w:spacing w:val="40"/>
          <w:kern w:val="0"/>
          <w:sz w:val="32"/>
          <w:szCs w:val="32"/>
        </w:rPr>
      </w:pPr>
      <w:r>
        <w:rPr>
          <w:rFonts w:eastAsia="仿宋_GB2312"/>
          <w:bCs/>
          <w:spacing w:val="40"/>
          <w:kern w:val="0"/>
          <w:sz w:val="32"/>
          <w:szCs w:val="32"/>
        </w:rPr>
        <w:t>八、政府性基金预算财政拨款收入支出决算表</w:t>
      </w:r>
    </w:p>
    <w:p>
      <w:pPr>
        <w:tabs>
          <w:tab w:val="center" w:pos="6979"/>
        </w:tabs>
        <w:spacing w:line="500" w:lineRule="exact"/>
        <w:ind w:firstLine="2400" w:firstLineChars="600"/>
        <w:jc w:val="left"/>
        <w:rPr>
          <w:rFonts w:eastAsia="仿宋_GB2312"/>
          <w:bCs/>
          <w:spacing w:val="40"/>
          <w:kern w:val="0"/>
          <w:sz w:val="32"/>
          <w:szCs w:val="32"/>
        </w:rPr>
      </w:pPr>
      <w:r>
        <w:rPr>
          <w:rFonts w:eastAsia="仿宋_GB2312"/>
          <w:bCs/>
          <w:spacing w:val="40"/>
          <w:kern w:val="0"/>
          <w:sz w:val="32"/>
          <w:szCs w:val="32"/>
        </w:rPr>
        <w:t>九、政府性基金预算财政拨款基本支出决算表</w:t>
      </w:r>
    </w:p>
    <w:p>
      <w:pPr>
        <w:tabs>
          <w:tab w:val="center" w:pos="6979"/>
        </w:tabs>
        <w:spacing w:line="500" w:lineRule="exact"/>
        <w:ind w:firstLine="2400" w:firstLineChars="600"/>
        <w:jc w:val="left"/>
        <w:rPr>
          <w:rFonts w:eastAsia="仿宋_GB2312"/>
          <w:bCs/>
          <w:spacing w:val="40"/>
          <w:kern w:val="0"/>
          <w:sz w:val="32"/>
          <w:szCs w:val="32"/>
        </w:rPr>
      </w:pPr>
      <w:r>
        <w:rPr>
          <w:rFonts w:eastAsia="仿宋_GB2312"/>
          <w:bCs/>
          <w:spacing w:val="40"/>
          <w:kern w:val="0"/>
          <w:sz w:val="32"/>
          <w:szCs w:val="32"/>
        </w:rPr>
        <w:t>十、国有资本经营预算财政拨款支出决算表</w:t>
      </w:r>
    </w:p>
    <w:p>
      <w:pPr>
        <w:tabs>
          <w:tab w:val="center" w:pos="6979"/>
        </w:tabs>
        <w:spacing w:line="500" w:lineRule="exact"/>
        <w:ind w:firstLine="2400" w:firstLineChars="600"/>
        <w:jc w:val="left"/>
        <w:rPr>
          <w:rFonts w:eastAsia="仿宋_GB2312"/>
          <w:bCs/>
          <w:spacing w:val="40"/>
          <w:kern w:val="0"/>
          <w:sz w:val="32"/>
          <w:szCs w:val="32"/>
        </w:rPr>
      </w:pPr>
      <w:r>
        <w:rPr>
          <w:rFonts w:eastAsia="仿宋_GB2312"/>
          <w:bCs/>
          <w:spacing w:val="40"/>
          <w:kern w:val="0"/>
          <w:sz w:val="32"/>
          <w:szCs w:val="32"/>
        </w:rPr>
        <w:t>十一、财政拨款“三公”经费支出决算表</w:t>
      </w:r>
    </w:p>
    <w:p>
      <w:pPr>
        <w:tabs>
          <w:tab w:val="center" w:pos="6979"/>
        </w:tabs>
        <w:spacing w:line="500" w:lineRule="exact"/>
        <w:ind w:firstLine="2400" w:firstLineChars="600"/>
        <w:jc w:val="left"/>
        <w:rPr>
          <w:rFonts w:eastAsia="仿宋_GB2312"/>
          <w:bCs/>
          <w:spacing w:val="40"/>
          <w:kern w:val="0"/>
          <w:sz w:val="32"/>
          <w:szCs w:val="32"/>
        </w:rPr>
      </w:pPr>
      <w:r>
        <w:rPr>
          <w:rFonts w:eastAsia="仿宋_GB2312"/>
          <w:bCs/>
          <w:spacing w:val="40"/>
          <w:kern w:val="0"/>
          <w:sz w:val="32"/>
          <w:szCs w:val="32"/>
        </w:rPr>
        <w:t>十二、政府采购情况表</w:t>
      </w:r>
    </w:p>
    <w:p>
      <w:pPr>
        <w:tabs>
          <w:tab w:val="center" w:pos="6979"/>
        </w:tabs>
        <w:spacing w:line="500" w:lineRule="exact"/>
        <w:ind w:firstLine="2400" w:firstLineChars="600"/>
        <w:jc w:val="left"/>
        <w:rPr>
          <w:rFonts w:eastAsia="仿宋_GB2312"/>
          <w:bCs/>
          <w:spacing w:val="40"/>
          <w:kern w:val="0"/>
          <w:sz w:val="32"/>
          <w:szCs w:val="32"/>
        </w:rPr>
      </w:pPr>
      <w:r>
        <w:rPr>
          <w:rFonts w:eastAsia="仿宋_GB2312"/>
          <w:bCs/>
          <w:spacing w:val="40"/>
          <w:kern w:val="0"/>
          <w:sz w:val="32"/>
          <w:szCs w:val="32"/>
        </w:rPr>
        <w:t>十三、政府购买服务决算公开情况表</w:t>
      </w:r>
    </w:p>
    <w:p>
      <w:pPr>
        <w:tabs>
          <w:tab w:val="center" w:pos="6979"/>
        </w:tabs>
        <w:spacing w:line="500" w:lineRule="exact"/>
        <w:ind w:firstLine="1600" w:firstLineChars="400"/>
        <w:jc w:val="left"/>
        <w:rPr>
          <w:bCs/>
          <w:spacing w:val="40"/>
          <w:kern w:val="0"/>
          <w:sz w:val="32"/>
          <w:szCs w:val="32"/>
        </w:rPr>
      </w:pPr>
      <w:r>
        <w:rPr>
          <w:bCs/>
          <w:spacing w:val="40"/>
          <w:kern w:val="0"/>
          <w:sz w:val="32"/>
          <w:szCs w:val="32"/>
        </w:rPr>
        <w:t xml:space="preserve">第二部分 </w:t>
      </w:r>
      <w:r>
        <w:rPr>
          <w:spacing w:val="40"/>
          <w:sz w:val="32"/>
          <w:szCs w:val="32"/>
        </w:rPr>
        <w:t>2022年度部门决算说明</w:t>
      </w:r>
    </w:p>
    <w:p>
      <w:pPr>
        <w:tabs>
          <w:tab w:val="center" w:pos="6979"/>
        </w:tabs>
        <w:spacing w:line="500" w:lineRule="exact"/>
        <w:ind w:firstLine="1600" w:firstLineChars="400"/>
        <w:jc w:val="left"/>
        <w:rPr>
          <w:spacing w:val="40"/>
          <w:kern w:val="0"/>
          <w:sz w:val="32"/>
          <w:szCs w:val="32"/>
        </w:rPr>
      </w:pPr>
      <w:r>
        <w:rPr>
          <w:bCs/>
          <w:spacing w:val="40"/>
          <w:kern w:val="0"/>
          <w:sz w:val="32"/>
          <w:szCs w:val="32"/>
        </w:rPr>
        <w:t xml:space="preserve">第三部分 </w:t>
      </w:r>
      <w:r>
        <w:rPr>
          <w:spacing w:val="40"/>
          <w:sz w:val="32"/>
          <w:szCs w:val="32"/>
        </w:rPr>
        <w:t>2022年度</w:t>
      </w:r>
      <w:r>
        <w:rPr>
          <w:spacing w:val="40"/>
          <w:kern w:val="0"/>
          <w:sz w:val="32"/>
          <w:szCs w:val="32"/>
        </w:rPr>
        <w:t>其他重要事项的情况说明</w:t>
      </w:r>
    </w:p>
    <w:p>
      <w:pPr>
        <w:tabs>
          <w:tab w:val="center" w:pos="6979"/>
        </w:tabs>
        <w:spacing w:line="500" w:lineRule="exact"/>
        <w:ind w:firstLine="1600" w:firstLineChars="400"/>
        <w:jc w:val="left"/>
        <w:rPr>
          <w:spacing w:val="40"/>
          <w:kern w:val="0"/>
          <w:sz w:val="32"/>
          <w:szCs w:val="32"/>
        </w:rPr>
        <w:sectPr>
          <w:footerReference r:id="rId5" w:type="default"/>
          <w:footerReference r:id="rId6" w:type="even"/>
          <w:pgSz w:w="16838" w:h="11906" w:orient="landscape"/>
          <w:pgMar w:top="1134" w:right="1134" w:bottom="1134" w:left="1134" w:header="851" w:footer="624" w:gutter="0"/>
          <w:cols w:space="720" w:num="1"/>
          <w:docGrid w:type="linesAndChars" w:linePitch="312" w:charSpace="0"/>
        </w:sectPr>
      </w:pPr>
      <w:r>
        <w:rPr>
          <w:spacing w:val="40"/>
          <w:kern w:val="0"/>
          <w:sz w:val="32"/>
          <w:szCs w:val="32"/>
        </w:rPr>
        <w:t>第四部分 2022年度部门绩效评价情况</w:t>
      </w:r>
    </w:p>
    <w:p>
      <w:pPr>
        <w:tabs>
          <w:tab w:val="center" w:pos="6979"/>
        </w:tabs>
        <w:spacing w:before="156" w:beforeLines="50" w:after="156" w:afterLines="50"/>
        <w:jc w:val="center"/>
        <w:rPr>
          <w:b/>
          <w:bCs/>
          <w:spacing w:val="40"/>
          <w:kern w:val="0"/>
          <w:sz w:val="32"/>
          <w:szCs w:val="32"/>
        </w:rPr>
      </w:pPr>
    </w:p>
    <w:p>
      <w:pPr>
        <w:tabs>
          <w:tab w:val="center" w:pos="6979"/>
        </w:tabs>
        <w:spacing w:before="156" w:beforeLines="50" w:after="156" w:afterLines="50"/>
        <w:jc w:val="center"/>
        <w:rPr>
          <w:b/>
          <w:bCs/>
          <w:spacing w:val="40"/>
          <w:kern w:val="0"/>
          <w:sz w:val="32"/>
          <w:szCs w:val="32"/>
        </w:rPr>
      </w:pPr>
    </w:p>
    <w:p>
      <w:pPr>
        <w:tabs>
          <w:tab w:val="center" w:pos="6979"/>
        </w:tabs>
        <w:spacing w:before="156" w:beforeLines="50" w:after="156" w:afterLines="50"/>
        <w:jc w:val="center"/>
        <w:rPr>
          <w:b/>
          <w:bCs/>
          <w:spacing w:val="40"/>
          <w:kern w:val="0"/>
          <w:sz w:val="32"/>
          <w:szCs w:val="32"/>
        </w:rPr>
      </w:pPr>
    </w:p>
    <w:p>
      <w:pPr>
        <w:tabs>
          <w:tab w:val="center" w:pos="6979"/>
        </w:tabs>
        <w:spacing w:before="156" w:beforeLines="50" w:after="156" w:afterLines="50"/>
        <w:jc w:val="center"/>
        <w:rPr>
          <w:b/>
          <w:bCs/>
          <w:spacing w:val="40"/>
          <w:kern w:val="0"/>
          <w:sz w:val="32"/>
          <w:szCs w:val="32"/>
        </w:rPr>
      </w:pPr>
    </w:p>
    <w:p>
      <w:pPr>
        <w:tabs>
          <w:tab w:val="center" w:pos="6979"/>
        </w:tabs>
        <w:spacing w:before="156" w:beforeLines="50" w:after="156" w:afterLines="50"/>
        <w:jc w:val="center"/>
        <w:rPr>
          <w:b/>
          <w:bCs/>
          <w:spacing w:val="40"/>
          <w:kern w:val="0"/>
          <w:sz w:val="32"/>
          <w:szCs w:val="32"/>
        </w:rPr>
      </w:pPr>
    </w:p>
    <w:p>
      <w:pPr>
        <w:tabs>
          <w:tab w:val="center" w:pos="6979"/>
        </w:tabs>
        <w:spacing w:before="156" w:beforeLines="50" w:after="156" w:afterLines="50"/>
        <w:jc w:val="center"/>
        <w:rPr>
          <w:b/>
          <w:bCs/>
          <w:spacing w:val="40"/>
          <w:kern w:val="0"/>
          <w:sz w:val="44"/>
          <w:szCs w:val="44"/>
        </w:rPr>
      </w:pPr>
      <w:r>
        <w:rPr>
          <w:b/>
          <w:bCs/>
          <w:spacing w:val="40"/>
          <w:kern w:val="0"/>
          <w:sz w:val="44"/>
          <w:szCs w:val="44"/>
        </w:rPr>
        <w:t>第一部分 2022年度部门决算报表</w:t>
      </w:r>
    </w:p>
    <w:p>
      <w:pPr>
        <w:tabs>
          <w:tab w:val="center" w:pos="6979"/>
        </w:tabs>
        <w:spacing w:line="580" w:lineRule="exact"/>
        <w:ind w:firstLine="420" w:firstLineChars="150"/>
        <w:rPr>
          <w:rFonts w:eastAsia="仿宋_GB2312"/>
          <w:sz w:val="28"/>
          <w:szCs w:val="28"/>
        </w:rPr>
      </w:pPr>
      <w:r>
        <w:rPr>
          <w:rFonts w:eastAsia="仿宋_GB2312"/>
          <w:sz w:val="28"/>
          <w:szCs w:val="28"/>
        </w:rPr>
        <w:t xml:space="preserve"> 报表详见附件。</w:t>
      </w:r>
    </w:p>
    <w:p>
      <w:pPr>
        <w:tabs>
          <w:tab w:val="center" w:pos="6979"/>
        </w:tabs>
        <w:spacing w:line="580" w:lineRule="exact"/>
        <w:ind w:firstLine="420" w:firstLineChars="150"/>
        <w:rPr>
          <w:rFonts w:eastAsia="仿宋_GB2312"/>
          <w:sz w:val="28"/>
          <w:szCs w:val="28"/>
        </w:rPr>
        <w:sectPr>
          <w:pgSz w:w="16838" w:h="11906" w:orient="landscape"/>
          <w:pgMar w:top="1134" w:right="1134" w:bottom="1134" w:left="1134" w:header="851" w:footer="624" w:gutter="0"/>
          <w:pgNumType w:start="1"/>
          <w:cols w:space="720" w:num="1"/>
          <w:docGrid w:type="linesAndChars" w:linePitch="312" w:charSpace="0"/>
        </w:sectPr>
      </w:pPr>
    </w:p>
    <w:p>
      <w:pPr>
        <w:tabs>
          <w:tab w:val="left" w:pos="1680"/>
        </w:tabs>
        <w:rPr>
          <w:sz w:val="32"/>
          <w:szCs w:val="32"/>
        </w:rPr>
      </w:pPr>
    </w:p>
    <w:p>
      <w:pPr>
        <w:tabs>
          <w:tab w:val="center" w:pos="6979"/>
        </w:tabs>
        <w:spacing w:before="156" w:beforeLines="50" w:after="156" w:afterLines="50"/>
        <w:jc w:val="center"/>
        <w:rPr>
          <w:b/>
          <w:sz w:val="32"/>
          <w:szCs w:val="32"/>
        </w:rPr>
      </w:pPr>
      <w:r>
        <w:rPr>
          <w:b/>
          <w:bCs/>
          <w:spacing w:val="40"/>
          <w:kern w:val="0"/>
          <w:sz w:val="32"/>
          <w:szCs w:val="32"/>
        </w:rPr>
        <w:t xml:space="preserve">第二部分 </w:t>
      </w:r>
      <w:r>
        <w:rPr>
          <w:b/>
          <w:spacing w:val="40"/>
          <w:sz w:val="32"/>
          <w:szCs w:val="32"/>
        </w:rPr>
        <w:t>2022年度部门决算说明</w:t>
      </w:r>
    </w:p>
    <w:p>
      <w:pPr>
        <w:tabs>
          <w:tab w:val="center" w:pos="6979"/>
        </w:tabs>
        <w:spacing w:line="580" w:lineRule="exact"/>
        <w:ind w:firstLine="551" w:firstLineChars="196"/>
        <w:rPr>
          <w:rFonts w:eastAsia="黑体"/>
          <w:b/>
          <w:sz w:val="28"/>
          <w:szCs w:val="28"/>
        </w:rPr>
      </w:pPr>
      <w:r>
        <w:rPr>
          <w:rFonts w:eastAsia="黑体"/>
          <w:b/>
          <w:sz w:val="28"/>
          <w:szCs w:val="28"/>
        </w:rPr>
        <w:t>一、单位基本情况</w:t>
      </w:r>
    </w:p>
    <w:p>
      <w:pPr>
        <w:tabs>
          <w:tab w:val="center" w:pos="6979"/>
        </w:tabs>
        <w:spacing w:line="580" w:lineRule="exact"/>
        <w:ind w:firstLine="420" w:firstLineChars="150"/>
        <w:rPr>
          <w:rFonts w:eastAsia="仿宋_GB2312"/>
          <w:sz w:val="28"/>
          <w:szCs w:val="28"/>
        </w:rPr>
      </w:pPr>
      <w:r>
        <w:rPr>
          <w:rFonts w:eastAsia="仿宋_GB2312"/>
          <w:sz w:val="28"/>
          <w:szCs w:val="28"/>
        </w:rPr>
        <w:t>（一）机构设置、职责</w:t>
      </w:r>
    </w:p>
    <w:p>
      <w:pPr>
        <w:tabs>
          <w:tab w:val="center" w:pos="6979"/>
        </w:tabs>
        <w:spacing w:line="580" w:lineRule="exact"/>
        <w:ind w:firstLine="420" w:firstLineChars="150"/>
        <w:rPr>
          <w:rFonts w:eastAsia="仿宋_GB2312"/>
          <w:sz w:val="28"/>
          <w:szCs w:val="28"/>
        </w:rPr>
      </w:pPr>
      <w:r>
        <w:rPr>
          <w:rFonts w:eastAsia="仿宋_GB2312"/>
          <w:sz w:val="28"/>
          <w:szCs w:val="28"/>
        </w:rPr>
        <w:t>1.本单位职责</w:t>
      </w:r>
    </w:p>
    <w:p>
      <w:pPr>
        <w:tabs>
          <w:tab w:val="center" w:pos="6979"/>
        </w:tabs>
        <w:spacing w:line="580" w:lineRule="exact"/>
        <w:ind w:firstLine="420" w:firstLineChars="150"/>
        <w:rPr>
          <w:rFonts w:eastAsia="仿宋_GB2312"/>
          <w:sz w:val="28"/>
          <w:szCs w:val="28"/>
        </w:rPr>
      </w:pPr>
      <w:r>
        <w:rPr>
          <w:rFonts w:hint="eastAsia" w:eastAsia="仿宋_GB2312"/>
          <w:sz w:val="28"/>
          <w:szCs w:val="28"/>
        </w:rPr>
        <w:t>中国音乐学院建立于1964年，是国家“双一流”建设院校、“全球音乐教育联盟”秘书处学校。学校坚持党的领导，坚持社会主义办学方向，以“承国学、扬国韵、育国器、强国音”为办学理念，以倡导和建设“中国乐派”为办学定位，以高水平研究型大学为办学类型，以建设世界一流大学为办学目标，独具中国音乐教育和研究特色，积极传承并大力发展中华优秀传统音乐文化，多年来被誉为“中国音乐家的摇篮”“中国音乐的殿堂”。</w:t>
      </w:r>
    </w:p>
    <w:p>
      <w:pPr>
        <w:tabs>
          <w:tab w:val="center" w:pos="6979"/>
        </w:tabs>
        <w:spacing w:line="580" w:lineRule="exact"/>
        <w:ind w:firstLine="420" w:firstLineChars="150"/>
        <w:rPr>
          <w:rFonts w:eastAsia="仿宋_GB2312"/>
          <w:sz w:val="28"/>
          <w:szCs w:val="28"/>
        </w:rPr>
      </w:pPr>
      <w:r>
        <w:rPr>
          <w:rFonts w:hint="eastAsia" w:eastAsia="仿宋_GB2312"/>
          <w:sz w:val="28"/>
          <w:szCs w:val="28"/>
        </w:rPr>
        <w:t>中国音乐学院具有完备的学科体系，学科建设水平处于全国领先地位。学校拥有音乐与舞蹈学一级学科博士、硕士及学士学位授权点和“音乐与舞蹈学”博士后科研流动站，是“接受中国政府奖学金来华留学生院校”。教育教学覆盖研究生、本科、附中（预科）三个层次，构成集音乐学、作曲与作曲技术理论、音乐表演、音乐教育为一体的全方位学科布局。学校设有中国音乐理论研究院（音乐学系）、作曲系、指挥系、中国声乐艺术研究院（声乐歌剧系）、国乐系、管弦系、钢琴系、艺术管理系、教育学院、思想政治理论教学部、基础教学部、附属中学等教学单位，形成以中国音乐理论、中国音乐创作、中国音乐表演及音乐教育多维一体的教学体系。</w:t>
      </w:r>
    </w:p>
    <w:p>
      <w:pPr>
        <w:tabs>
          <w:tab w:val="center" w:pos="6979"/>
        </w:tabs>
        <w:spacing w:line="580" w:lineRule="exact"/>
        <w:ind w:firstLine="420" w:firstLineChars="150"/>
        <w:rPr>
          <w:rFonts w:eastAsia="仿宋_GB2312"/>
          <w:sz w:val="28"/>
          <w:szCs w:val="28"/>
        </w:rPr>
      </w:pPr>
      <w:r>
        <w:rPr>
          <w:rFonts w:eastAsia="仿宋_GB2312"/>
          <w:sz w:val="28"/>
          <w:szCs w:val="28"/>
        </w:rPr>
        <w:t>2.机构设置情况</w:t>
      </w:r>
    </w:p>
    <w:p>
      <w:pPr>
        <w:tabs>
          <w:tab w:val="center" w:pos="6979"/>
        </w:tabs>
        <w:spacing w:line="580" w:lineRule="exact"/>
        <w:ind w:firstLine="420" w:firstLineChars="150"/>
        <w:rPr>
          <w:rFonts w:eastAsia="仿宋_GB2312"/>
          <w:sz w:val="28"/>
          <w:szCs w:val="28"/>
        </w:rPr>
      </w:pPr>
      <w:r>
        <w:rPr>
          <w:rFonts w:eastAsia="仿宋_GB2312"/>
          <w:sz w:val="28"/>
          <w:szCs w:val="28"/>
        </w:rPr>
        <w:t>根据《普通高等学校编制管理规程》，经北京市教育委员会审核备案，中国音乐学院设党院办公室、党委巡察工作办公室、纪检监察办公室、党委组织部、党委统战部、党委宣传部（宣传新闻中心）、党委教师工作部、网络信息中心、图书馆、党委学生工作部（处）、党委武装部、党委保卫部（处）、教育教学中心、人力资源中心、财务管理中心、教学服务中心、科研处、研究生院、党委研究生工作部（处）、审计处、音乐学系（中国音乐理论研究院）、作曲系、指挥系、声乐歌剧系（中国声乐艺术研究院）、国乐系、管弦系、钢琴系、艺术管理系、教育学院、思想政治理论教学部、基础教学部、附中等3</w:t>
      </w:r>
      <w:r>
        <w:rPr>
          <w:rFonts w:hint="eastAsia" w:eastAsia="仿宋_GB2312"/>
          <w:sz w:val="28"/>
          <w:szCs w:val="28"/>
          <w:lang w:val="en-US" w:eastAsia="zh-CN"/>
        </w:rPr>
        <w:t>2</w:t>
      </w:r>
      <w:r>
        <w:rPr>
          <w:rFonts w:eastAsia="仿宋_GB2312"/>
          <w:sz w:val="28"/>
          <w:szCs w:val="28"/>
        </w:rPr>
        <w:t>个内设机构。</w:t>
      </w:r>
      <w:bookmarkStart w:id="0" w:name="_GoBack"/>
      <w:bookmarkEnd w:id="0"/>
    </w:p>
    <w:p>
      <w:pPr>
        <w:tabs>
          <w:tab w:val="center" w:pos="6979"/>
        </w:tabs>
        <w:spacing w:line="580" w:lineRule="exact"/>
        <w:ind w:firstLine="420" w:firstLineChars="150"/>
        <w:rPr>
          <w:rFonts w:eastAsia="仿宋_GB2312"/>
          <w:sz w:val="28"/>
          <w:szCs w:val="28"/>
        </w:rPr>
      </w:pPr>
      <w:r>
        <w:rPr>
          <w:rFonts w:eastAsia="仿宋_GB2312"/>
          <w:sz w:val="28"/>
          <w:szCs w:val="28"/>
        </w:rPr>
        <w:t>（二）人员构成情况</w:t>
      </w:r>
    </w:p>
    <w:p>
      <w:pPr>
        <w:tabs>
          <w:tab w:val="center" w:pos="6979"/>
        </w:tabs>
        <w:spacing w:line="580" w:lineRule="exact"/>
        <w:ind w:firstLine="560" w:firstLineChars="200"/>
        <w:rPr>
          <w:rFonts w:eastAsia="仿宋_GB2312"/>
          <w:kern w:val="0"/>
          <w:sz w:val="28"/>
          <w:szCs w:val="28"/>
        </w:rPr>
      </w:pPr>
      <w:r>
        <w:rPr>
          <w:rFonts w:eastAsia="仿宋_GB2312"/>
          <w:kern w:val="0"/>
          <w:sz w:val="28"/>
          <w:szCs w:val="28"/>
        </w:rPr>
        <w:t>行政编制0人，实际人数0人；事业编制564人，实有人数497人；学生人数3721人。</w:t>
      </w:r>
    </w:p>
    <w:p>
      <w:pPr>
        <w:tabs>
          <w:tab w:val="center" w:pos="6979"/>
        </w:tabs>
        <w:spacing w:line="580" w:lineRule="exact"/>
        <w:rPr>
          <w:rFonts w:eastAsia="黑体"/>
          <w:b/>
          <w:sz w:val="28"/>
          <w:szCs w:val="28"/>
        </w:rPr>
      </w:pPr>
      <w:r>
        <w:rPr>
          <w:rFonts w:eastAsia="仿宋_GB2312"/>
          <w:b/>
          <w:sz w:val="32"/>
          <w:szCs w:val="32"/>
        </w:rPr>
        <w:t xml:space="preserve">   </w:t>
      </w:r>
      <w:r>
        <w:rPr>
          <w:rFonts w:eastAsia="黑体"/>
          <w:b/>
          <w:sz w:val="28"/>
          <w:szCs w:val="28"/>
        </w:rPr>
        <w:t>二、收入支出决算总体情况说明</w:t>
      </w:r>
    </w:p>
    <w:p>
      <w:pPr>
        <w:tabs>
          <w:tab w:val="center" w:pos="6979"/>
        </w:tabs>
        <w:spacing w:line="580" w:lineRule="exact"/>
        <w:ind w:firstLine="570"/>
        <w:rPr>
          <w:rFonts w:eastAsia="仿宋_GB2312"/>
          <w:sz w:val="28"/>
          <w:szCs w:val="28"/>
        </w:rPr>
      </w:pPr>
      <w:r>
        <w:rPr>
          <w:rFonts w:eastAsia="仿宋_GB2312"/>
          <w:sz w:val="28"/>
          <w:szCs w:val="28"/>
        </w:rPr>
        <w:t>2022年度收、支总计138286.65万元，比上年增加64360.74万元，增长87.06%。</w:t>
      </w:r>
    </w:p>
    <w:p>
      <w:pPr>
        <w:tabs>
          <w:tab w:val="center" w:pos="6979"/>
        </w:tabs>
        <w:spacing w:line="580" w:lineRule="exact"/>
        <w:ind w:firstLine="570"/>
        <w:rPr>
          <w:rFonts w:eastAsia="仿宋_GB2312"/>
          <w:sz w:val="28"/>
          <w:szCs w:val="28"/>
        </w:rPr>
      </w:pPr>
      <w:r>
        <w:rPr>
          <w:rFonts w:eastAsia="仿宋_GB2312"/>
          <w:sz w:val="28"/>
          <w:szCs w:val="28"/>
        </w:rPr>
        <w:t>（一）收入决算说明</w:t>
      </w:r>
    </w:p>
    <w:p>
      <w:pPr>
        <w:tabs>
          <w:tab w:val="center" w:pos="6979"/>
        </w:tabs>
        <w:spacing w:line="580" w:lineRule="exact"/>
        <w:ind w:firstLine="570"/>
        <w:rPr>
          <w:rFonts w:eastAsia="仿宋_GB2312"/>
          <w:sz w:val="28"/>
          <w:szCs w:val="28"/>
        </w:rPr>
      </w:pPr>
      <w:r>
        <w:rPr>
          <w:rFonts w:eastAsia="仿宋_GB2312"/>
          <w:sz w:val="28"/>
          <w:szCs w:val="28"/>
        </w:rPr>
        <w:t>2022年度本年收入合计66806.77万元，比上年减少2725.04万元，下降3.92%，其中：财政拨款收入31341.87万元，占收入合计的46.91%；上级补助收入0</w:t>
      </w:r>
      <w:r>
        <w:rPr>
          <w:rFonts w:hint="eastAsia" w:eastAsia="仿宋_GB2312"/>
          <w:sz w:val="28"/>
          <w:szCs w:val="28"/>
        </w:rPr>
        <w:t>.</w:t>
      </w:r>
      <w:r>
        <w:rPr>
          <w:rFonts w:eastAsia="仿宋_GB2312"/>
          <w:sz w:val="28"/>
          <w:szCs w:val="28"/>
        </w:rPr>
        <w:t>00万元，占收入合计的0.00%；事业收入34699.60万元，占收入合计的51.94%；经营收入160.51万元，占收入合计的0.24%；附属单位上缴收入117.44万元，占收入合计的0.18%；其他收入487.35万元，占收入合计的0.73%。</w:t>
      </w:r>
    </w:p>
    <w:p>
      <w:pPr>
        <w:pStyle w:val="3"/>
        <w:jc w:val="center"/>
        <w:rPr>
          <w:rFonts w:ascii="Times New Roman" w:hAnsi="Times New Roman" w:eastAsia="宋体"/>
          <w:sz w:val="21"/>
        </w:rPr>
      </w:pPr>
      <w:r>
        <w:rPr>
          <w:rFonts w:ascii="Times New Roman" w:hAnsi="Times New Roman" w:eastAsia="仿宋_GB2312"/>
          <w:color w:val="000000"/>
          <w:sz w:val="32"/>
        </w:rPr>
        <w:t>收入</w:t>
      </w:r>
      <w:r>
        <w:rPr>
          <w:rFonts w:hint="eastAsia" w:ascii="Times New Roman" w:hAnsi="Times New Roman" w:eastAsia="仿宋_GB2312"/>
          <w:color w:val="000000"/>
          <w:sz w:val="32"/>
        </w:rPr>
        <w:t>决</w:t>
      </w:r>
      <w:r>
        <w:rPr>
          <w:rFonts w:ascii="Times New Roman" w:hAnsi="Times New Roman" w:eastAsia="仿宋_GB2312"/>
          <w:color w:val="000000"/>
          <w:sz w:val="32"/>
        </w:rPr>
        <w:t>算</w:t>
      </w:r>
      <w:r>
        <w:rPr>
          <w:rFonts w:ascii="Times New Roman" w:hAnsi="Times New Roman"/>
        </w:rPr>
        <w:drawing>
          <wp:inline distT="0" distB="0" distL="0" distR="0">
            <wp:extent cx="19050" cy="19050"/>
            <wp:effectExtent l="0" t="0" r="0" b="0"/>
            <wp:docPr id="2"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2"/>
        <w:ind w:firstLine="0" w:firstLineChars="0"/>
      </w:pPr>
    </w:p>
    <w:p>
      <w:pPr>
        <w:pStyle w:val="2"/>
        <w:ind w:firstLine="360"/>
        <w:jc w:val="center"/>
      </w:pPr>
      <w:r>
        <w:rPr>
          <w:sz w:val="18"/>
          <w:szCs w:val="18"/>
        </w:rPr>
        <w:drawing>
          <wp:inline distT="0" distB="0" distL="0" distR="0">
            <wp:extent cx="5928360" cy="2743200"/>
            <wp:effectExtent l="0" t="0" r="15240" b="19050"/>
            <wp:docPr id="1"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tabs>
          <w:tab w:val="center" w:pos="6979"/>
        </w:tabs>
        <w:spacing w:line="580" w:lineRule="exact"/>
        <w:ind w:firstLine="570"/>
        <w:rPr>
          <w:rFonts w:eastAsia="仿宋_GB2312"/>
          <w:sz w:val="28"/>
          <w:szCs w:val="28"/>
        </w:rPr>
      </w:pPr>
      <w:r>
        <w:rPr>
          <w:rFonts w:eastAsia="仿宋_GB2312"/>
          <w:sz w:val="28"/>
          <w:szCs w:val="28"/>
        </w:rPr>
        <w:t>（二）支出决算说明</w:t>
      </w:r>
    </w:p>
    <w:p>
      <w:pPr>
        <w:tabs>
          <w:tab w:val="center" w:pos="6979"/>
        </w:tabs>
        <w:spacing w:line="580" w:lineRule="exact"/>
        <w:ind w:firstLine="570"/>
        <w:rPr>
          <w:rFonts w:eastAsia="仿宋_GB2312"/>
          <w:sz w:val="28"/>
          <w:szCs w:val="28"/>
        </w:rPr>
      </w:pPr>
      <w:r>
        <w:rPr>
          <w:rFonts w:eastAsia="仿宋_GB2312"/>
          <w:sz w:val="28"/>
          <w:szCs w:val="28"/>
        </w:rPr>
        <w:t>2022年度本年支出合计52603.74万元，比上年增加197.14万元，增长0.38%，其中：基本支出48870.77万元，占支出合计的92.90%；项目支出3572.46万元，占支出合计的6.79%</w:t>
      </w:r>
      <w:r>
        <w:rPr>
          <w:rFonts w:hint="eastAsia" w:eastAsia="仿宋_GB2312"/>
          <w:sz w:val="28"/>
          <w:szCs w:val="28"/>
        </w:rPr>
        <w:t>；</w:t>
      </w:r>
      <w:r>
        <w:rPr>
          <w:rFonts w:eastAsia="仿宋_GB2312"/>
          <w:sz w:val="28"/>
          <w:szCs w:val="28"/>
        </w:rPr>
        <w:t>上缴上级支出0.00万元，占支出合计的0.00%；经营支出160.51万元，占支出合计的0.31%；对附属单位补助支出0.00万元，占支出合计的0.00%。</w:t>
      </w:r>
    </w:p>
    <w:p>
      <w:pPr>
        <w:pStyle w:val="3"/>
        <w:ind w:firstLine="642"/>
        <w:jc w:val="center"/>
        <w:rPr>
          <w:rFonts w:ascii="Times New Roman" w:hAnsi="Times New Roman" w:eastAsia="仿宋_GB2312"/>
          <w:color w:val="000000"/>
          <w:sz w:val="32"/>
        </w:rPr>
      </w:pPr>
      <w:r>
        <w:rPr>
          <w:rFonts w:hint="eastAsia" w:ascii="Times New Roman" w:hAnsi="Times New Roman" w:eastAsia="仿宋_GB2312"/>
          <w:color w:val="000000"/>
          <w:sz w:val="32"/>
        </w:rPr>
        <w:t>支出决算</w:t>
      </w:r>
    </w:p>
    <w:p>
      <w:pPr>
        <w:pStyle w:val="2"/>
        <w:ind w:firstLine="360"/>
        <w:jc w:val="center"/>
      </w:pPr>
      <w:r>
        <w:rPr>
          <w:sz w:val="18"/>
          <w:szCs w:val="18"/>
        </w:rPr>
        <w:drawing>
          <wp:inline distT="0" distB="0" distL="0" distR="0">
            <wp:extent cx="5928360" cy="2613660"/>
            <wp:effectExtent l="0" t="0" r="15240" b="15240"/>
            <wp:docPr id="3"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tabs>
          <w:tab w:val="center" w:pos="6979"/>
        </w:tabs>
        <w:spacing w:line="580" w:lineRule="exact"/>
        <w:ind w:firstLine="551" w:firstLineChars="196"/>
        <w:rPr>
          <w:rFonts w:eastAsia="黑体"/>
          <w:b/>
          <w:sz w:val="28"/>
          <w:szCs w:val="28"/>
        </w:rPr>
      </w:pPr>
      <w:r>
        <w:rPr>
          <w:rFonts w:eastAsia="黑体"/>
          <w:b/>
          <w:sz w:val="28"/>
          <w:szCs w:val="28"/>
        </w:rPr>
        <w:t>三、财政拨款收入支出决算总体情况说明</w:t>
      </w:r>
    </w:p>
    <w:p>
      <w:pPr>
        <w:tabs>
          <w:tab w:val="center" w:pos="6979"/>
        </w:tabs>
        <w:spacing w:line="580" w:lineRule="exact"/>
        <w:ind w:firstLine="570"/>
        <w:rPr>
          <w:rFonts w:eastAsia="仿宋_GB2312"/>
          <w:sz w:val="28"/>
          <w:szCs w:val="28"/>
        </w:rPr>
      </w:pPr>
      <w:r>
        <w:rPr>
          <w:rFonts w:eastAsia="仿宋_GB2312"/>
          <w:sz w:val="28"/>
          <w:szCs w:val="28"/>
        </w:rPr>
        <w:t>2022年度财政拨款收、支总计33814.99万元，比上年减少3293.63万元，下降8.88%。主要原因：根据事业发展规划调整预算安排。</w:t>
      </w:r>
    </w:p>
    <w:p>
      <w:pPr>
        <w:tabs>
          <w:tab w:val="center" w:pos="6979"/>
        </w:tabs>
        <w:spacing w:line="580" w:lineRule="exact"/>
        <w:ind w:firstLine="551" w:firstLineChars="196"/>
        <w:rPr>
          <w:rFonts w:eastAsia="黑体"/>
          <w:b/>
          <w:sz w:val="28"/>
          <w:szCs w:val="28"/>
        </w:rPr>
      </w:pPr>
      <w:r>
        <w:rPr>
          <w:rFonts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eastAsia="仿宋_GB2312"/>
          <w:sz w:val="28"/>
          <w:szCs w:val="28"/>
        </w:rPr>
      </w:pPr>
      <w:r>
        <w:rPr>
          <w:rFonts w:eastAsia="仿宋_GB2312"/>
          <w:sz w:val="28"/>
          <w:szCs w:val="28"/>
        </w:rPr>
        <w:t>（一）一般公共预算财政拨款支出决算总体情况</w:t>
      </w:r>
    </w:p>
    <w:p>
      <w:pPr>
        <w:tabs>
          <w:tab w:val="center" w:pos="6979"/>
        </w:tabs>
        <w:spacing w:line="580" w:lineRule="exact"/>
        <w:ind w:firstLine="560" w:firstLineChars="200"/>
        <w:rPr>
          <w:rFonts w:eastAsia="仿宋_GB2312"/>
          <w:sz w:val="28"/>
          <w:szCs w:val="28"/>
        </w:rPr>
      </w:pPr>
      <w:r>
        <w:rPr>
          <w:rFonts w:eastAsia="仿宋_GB2312"/>
          <w:sz w:val="28"/>
          <w:szCs w:val="28"/>
        </w:rPr>
        <w:t>2022年度一般公共预算财政拨款支出31019.85万元，主要用于以下方面</w:t>
      </w:r>
      <w:r>
        <w:rPr>
          <w:rFonts w:hint="eastAsia" w:eastAsia="仿宋_GB2312"/>
          <w:sz w:val="28"/>
          <w:szCs w:val="28"/>
        </w:rPr>
        <w:t>（按</w:t>
      </w:r>
      <w:r>
        <w:rPr>
          <w:rFonts w:eastAsia="仿宋_GB2312"/>
          <w:sz w:val="28"/>
          <w:szCs w:val="28"/>
        </w:rPr>
        <w:t>大类</w:t>
      </w:r>
      <w:r>
        <w:rPr>
          <w:rFonts w:hint="eastAsia" w:eastAsia="仿宋_GB2312"/>
          <w:sz w:val="28"/>
          <w:szCs w:val="28"/>
        </w:rPr>
        <w:t>）</w:t>
      </w:r>
      <w:r>
        <w:rPr>
          <w:rFonts w:eastAsia="仿宋_GB2312"/>
          <w:sz w:val="28"/>
          <w:szCs w:val="28"/>
        </w:rPr>
        <w:t>：教育支出31019.85万元，占本年财政拨款支出100%。</w:t>
      </w:r>
    </w:p>
    <w:p>
      <w:pPr>
        <w:autoSpaceDE w:val="0"/>
        <w:autoSpaceDN w:val="0"/>
        <w:adjustRightInd w:val="0"/>
        <w:spacing w:line="580" w:lineRule="exact"/>
        <w:ind w:firstLine="560" w:firstLineChars="200"/>
        <w:jc w:val="left"/>
        <w:rPr>
          <w:rFonts w:eastAsia="仿宋_GB2312"/>
          <w:sz w:val="28"/>
          <w:szCs w:val="28"/>
        </w:rPr>
      </w:pPr>
      <w:r>
        <w:rPr>
          <w:rFonts w:eastAsia="仿宋_GB2312"/>
          <w:sz w:val="28"/>
          <w:szCs w:val="28"/>
        </w:rPr>
        <w:t>（二）一般公共预算财政拨款支出决算具体情况</w:t>
      </w:r>
    </w:p>
    <w:p>
      <w:pPr>
        <w:tabs>
          <w:tab w:val="center" w:pos="6979"/>
        </w:tabs>
        <w:spacing w:line="580" w:lineRule="exact"/>
        <w:ind w:firstLine="570"/>
        <w:rPr>
          <w:rFonts w:eastAsia="仿宋_GB2312"/>
          <w:sz w:val="28"/>
          <w:szCs w:val="28"/>
        </w:rPr>
      </w:pPr>
      <w:r>
        <w:rPr>
          <w:rFonts w:eastAsia="仿宋_GB2312"/>
          <w:sz w:val="28"/>
          <w:szCs w:val="28"/>
        </w:rPr>
        <w:t>“教育支出”</w:t>
      </w:r>
      <w:r>
        <w:rPr>
          <w:rFonts w:hint="eastAsia" w:eastAsia="仿宋_GB2312"/>
          <w:sz w:val="28"/>
          <w:szCs w:val="28"/>
        </w:rPr>
        <w:t>（类）</w:t>
      </w:r>
      <w:r>
        <w:rPr>
          <w:rFonts w:eastAsia="仿宋_GB2312"/>
          <w:sz w:val="28"/>
          <w:szCs w:val="28"/>
        </w:rPr>
        <w:t>2022年度决算31019.85万元，比2022年度年初预算减少3671.30万元，下降10.58%。其中：</w:t>
      </w:r>
    </w:p>
    <w:p>
      <w:pPr>
        <w:tabs>
          <w:tab w:val="center" w:pos="6979"/>
        </w:tabs>
        <w:spacing w:line="580" w:lineRule="exact"/>
        <w:ind w:firstLine="570"/>
        <w:rPr>
          <w:rFonts w:eastAsia="仿宋_GB2312"/>
          <w:sz w:val="28"/>
          <w:szCs w:val="28"/>
        </w:rPr>
      </w:pPr>
      <w:r>
        <w:rPr>
          <w:rFonts w:eastAsia="仿宋_GB2312"/>
          <w:sz w:val="28"/>
          <w:szCs w:val="28"/>
        </w:rPr>
        <w:t>“普通教育”</w:t>
      </w:r>
      <w:r>
        <w:rPr>
          <w:rFonts w:hint="eastAsia" w:eastAsia="仿宋_GB2312"/>
          <w:sz w:val="28"/>
          <w:szCs w:val="28"/>
        </w:rPr>
        <w:t>（款）</w:t>
      </w:r>
      <w:r>
        <w:rPr>
          <w:rFonts w:eastAsia="仿宋_GB2312"/>
          <w:sz w:val="28"/>
          <w:szCs w:val="28"/>
        </w:rPr>
        <w:t>2022年度决算25973.19万元，比2022年年初预算减少3641.87元，下降12.30%。主要原因：计划有所调整，经费未全部支出。</w:t>
      </w:r>
    </w:p>
    <w:p>
      <w:pPr>
        <w:tabs>
          <w:tab w:val="center" w:pos="6979"/>
        </w:tabs>
        <w:spacing w:line="580" w:lineRule="exact"/>
        <w:ind w:firstLine="570"/>
        <w:rPr>
          <w:rFonts w:eastAsia="仿宋_GB2312"/>
          <w:sz w:val="28"/>
          <w:szCs w:val="28"/>
        </w:rPr>
      </w:pPr>
      <w:r>
        <w:rPr>
          <w:rFonts w:eastAsia="仿宋_GB2312"/>
          <w:sz w:val="28"/>
          <w:szCs w:val="28"/>
        </w:rPr>
        <w:t>“职业教育”</w:t>
      </w:r>
      <w:r>
        <w:rPr>
          <w:rFonts w:hint="eastAsia" w:eastAsia="仿宋_GB2312"/>
          <w:sz w:val="28"/>
          <w:szCs w:val="28"/>
        </w:rPr>
        <w:t>（款）</w:t>
      </w:r>
      <w:r>
        <w:rPr>
          <w:rFonts w:eastAsia="仿宋_GB2312"/>
          <w:sz w:val="28"/>
          <w:szCs w:val="28"/>
        </w:rPr>
        <w:t>2022年度决算5046.66万元，比2022年年初预算减少29.43万元，下降0.58%。主要原因：压减一般性支出。</w:t>
      </w:r>
    </w:p>
    <w:p>
      <w:pPr>
        <w:spacing w:line="580" w:lineRule="exact"/>
        <w:ind w:firstLine="562" w:firstLineChars="200"/>
        <w:rPr>
          <w:rFonts w:eastAsia="仿宋_GB2312"/>
          <w:sz w:val="28"/>
          <w:szCs w:val="28"/>
        </w:rPr>
      </w:pPr>
      <w:r>
        <w:rPr>
          <w:rFonts w:eastAsia="黑体"/>
          <w:b/>
          <w:sz w:val="28"/>
          <w:szCs w:val="28"/>
        </w:rPr>
        <w:t>五、政府性基金预算财政拨款支出决算情况说明</w:t>
      </w:r>
    </w:p>
    <w:p>
      <w:pPr>
        <w:spacing w:line="580" w:lineRule="exact"/>
        <w:ind w:firstLine="560" w:firstLineChars="200"/>
        <w:rPr>
          <w:rFonts w:eastAsia="仿宋_GB2312"/>
          <w:sz w:val="28"/>
          <w:szCs w:val="28"/>
        </w:rPr>
      </w:pPr>
      <w:r>
        <w:rPr>
          <w:rFonts w:eastAsia="仿宋_GB2312"/>
          <w:sz w:val="28"/>
          <w:szCs w:val="28"/>
        </w:rPr>
        <w:t>本年度无此项支出。</w:t>
      </w:r>
    </w:p>
    <w:p>
      <w:pPr>
        <w:spacing w:line="580" w:lineRule="exact"/>
        <w:ind w:firstLine="562" w:firstLineChars="200"/>
        <w:rPr>
          <w:rFonts w:eastAsia="黑体"/>
          <w:b/>
          <w:sz w:val="28"/>
          <w:szCs w:val="28"/>
        </w:rPr>
      </w:pPr>
      <w:r>
        <w:rPr>
          <w:rFonts w:eastAsia="黑体"/>
          <w:b/>
          <w:sz w:val="28"/>
          <w:szCs w:val="28"/>
        </w:rPr>
        <w:t>六、国有资本经营预算财政拨款收支情况</w:t>
      </w:r>
    </w:p>
    <w:p>
      <w:pPr>
        <w:tabs>
          <w:tab w:val="center" w:pos="6979"/>
        </w:tabs>
        <w:spacing w:line="580" w:lineRule="exact"/>
        <w:ind w:firstLine="548" w:firstLineChars="196"/>
        <w:rPr>
          <w:rFonts w:eastAsia="仿宋_GB2312"/>
          <w:sz w:val="28"/>
          <w:szCs w:val="28"/>
        </w:rPr>
      </w:pPr>
      <w:r>
        <w:rPr>
          <w:rFonts w:eastAsia="仿宋_GB2312"/>
          <w:sz w:val="28"/>
          <w:szCs w:val="28"/>
        </w:rPr>
        <w:t>本年度无此项经费。</w:t>
      </w:r>
    </w:p>
    <w:p>
      <w:pPr>
        <w:spacing w:line="580" w:lineRule="exact"/>
        <w:ind w:firstLine="551" w:firstLineChars="196"/>
        <w:rPr>
          <w:rFonts w:eastAsia="黑体"/>
          <w:sz w:val="28"/>
          <w:szCs w:val="28"/>
        </w:rPr>
      </w:pPr>
      <w:r>
        <w:rPr>
          <w:rFonts w:eastAsia="黑体"/>
          <w:b/>
          <w:sz w:val="28"/>
          <w:szCs w:val="28"/>
        </w:rPr>
        <w:t>七、财政拨款基本支出决算情况说明</w:t>
      </w:r>
    </w:p>
    <w:p>
      <w:pPr>
        <w:tabs>
          <w:tab w:val="center" w:pos="6979"/>
        </w:tabs>
        <w:spacing w:line="580" w:lineRule="exact"/>
        <w:ind w:firstLine="548" w:firstLineChars="196"/>
        <w:rPr>
          <w:rFonts w:eastAsia="黑体"/>
          <w:b/>
          <w:sz w:val="28"/>
          <w:szCs w:val="28"/>
        </w:rPr>
      </w:pPr>
      <w:r>
        <w:rPr>
          <w:rFonts w:eastAsia="仿宋_GB2312"/>
          <w:sz w:val="28"/>
          <w:szCs w:val="28"/>
        </w:rPr>
        <w:t>2022年度使用一般公共预算财政拨款安排基本支出27548.23万元，使用政府性基金财政拨款安排基本支出0.00万元，其中：（1）工资福利支出包括基本工资、津贴补贴、奖金、伙食补助费、绩效工资、其他社会保障缴费、其他工资福利等支出；（2）商品和服务支出包括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等支出；（3）对个人和家庭补助支出包括离休费、退休费、抚恤金、生活补助、救济费、医疗费补助、助学金、奖励金、其他对个人和家庭的补助等支出。（4）其他资本性支出包括办公设备购置、专用设备购置等。</w:t>
      </w:r>
    </w:p>
    <w:p>
      <w:pPr>
        <w:rPr>
          <w:rFonts w:eastAsia="仿宋_GB2312"/>
          <w:sz w:val="28"/>
          <w:szCs w:val="28"/>
        </w:rPr>
      </w:pPr>
      <w:r>
        <w:br w:type="page"/>
      </w:r>
      <w:r>
        <w:rPr>
          <w:rFonts w:eastAsia="仿宋_GB2312"/>
          <w:b/>
          <w:sz w:val="32"/>
          <w:szCs w:val="32"/>
        </w:rPr>
        <w:tab/>
      </w:r>
    </w:p>
    <w:p>
      <w:pPr>
        <w:tabs>
          <w:tab w:val="center" w:pos="6979"/>
        </w:tabs>
        <w:jc w:val="center"/>
        <w:rPr>
          <w:b/>
          <w:spacing w:val="40"/>
          <w:kern w:val="0"/>
          <w:sz w:val="32"/>
          <w:szCs w:val="32"/>
        </w:rPr>
      </w:pPr>
      <w:r>
        <w:rPr>
          <w:b/>
          <w:bCs/>
          <w:spacing w:val="40"/>
          <w:kern w:val="0"/>
          <w:sz w:val="32"/>
          <w:szCs w:val="32"/>
        </w:rPr>
        <w:t>第三部分</w:t>
      </w:r>
      <w:r>
        <w:rPr>
          <w:b/>
          <w:spacing w:val="40"/>
          <w:sz w:val="32"/>
          <w:szCs w:val="32"/>
        </w:rPr>
        <w:t>2022年度</w:t>
      </w:r>
      <w:r>
        <w:rPr>
          <w:b/>
          <w:spacing w:val="40"/>
          <w:kern w:val="0"/>
          <w:sz w:val="32"/>
          <w:szCs w:val="32"/>
        </w:rPr>
        <w:t>其他重要事项的情况说明</w:t>
      </w:r>
    </w:p>
    <w:p>
      <w:pPr>
        <w:spacing w:line="560" w:lineRule="exact"/>
        <w:ind w:firstLine="560" w:firstLineChars="200"/>
        <w:rPr>
          <w:rFonts w:eastAsia="黑体"/>
          <w:sz w:val="28"/>
          <w:szCs w:val="28"/>
        </w:rPr>
      </w:pPr>
      <w:r>
        <w:rPr>
          <w:rFonts w:eastAsia="黑体"/>
          <w:sz w:val="28"/>
          <w:szCs w:val="28"/>
        </w:rPr>
        <w:t>一、“三公”经费财政拨款决算情况</w:t>
      </w:r>
    </w:p>
    <w:p>
      <w:pPr>
        <w:spacing w:line="560" w:lineRule="exact"/>
        <w:ind w:firstLine="600"/>
        <w:rPr>
          <w:rFonts w:eastAsia="仿宋_GB2312"/>
          <w:sz w:val="28"/>
          <w:szCs w:val="28"/>
        </w:rPr>
      </w:pPr>
      <w:r>
        <w:rPr>
          <w:rFonts w:hint="eastAsia" w:ascii="仿宋_GB2312" w:eastAsia="仿宋_GB2312"/>
          <w:sz w:val="28"/>
          <w:szCs w:val="28"/>
        </w:rPr>
        <w:t>“三公”经费包括本单位所属</w:t>
      </w:r>
      <w:r>
        <w:rPr>
          <w:rFonts w:hint="eastAsia" w:ascii="仿宋_GB2312" w:eastAsia="仿宋_GB2312"/>
          <w:bCs/>
          <w:sz w:val="28"/>
          <w:szCs w:val="28"/>
          <w:lang w:val="en-US" w:eastAsia="zh-CN"/>
        </w:rPr>
        <w:t>0</w:t>
      </w:r>
      <w:r>
        <w:rPr>
          <w:rFonts w:hint="eastAsia" w:ascii="仿宋_GB2312" w:eastAsia="仿宋_GB2312"/>
          <w:sz w:val="28"/>
          <w:szCs w:val="28"/>
        </w:rPr>
        <w:t>个行政单位、</w:t>
      </w:r>
      <w:r>
        <w:rPr>
          <w:rFonts w:hint="eastAsia" w:ascii="仿宋_GB2312" w:eastAsia="仿宋_GB2312"/>
          <w:sz w:val="28"/>
          <w:szCs w:val="28"/>
          <w:lang w:val="en-US" w:eastAsia="zh-CN"/>
        </w:rPr>
        <w:t>0</w:t>
      </w:r>
      <w:r>
        <w:rPr>
          <w:rFonts w:hint="eastAsia" w:ascii="仿宋_GB2312" w:eastAsia="仿宋_GB2312"/>
          <w:sz w:val="28"/>
          <w:szCs w:val="28"/>
        </w:rPr>
        <w:t>个</w:t>
      </w:r>
      <w:r>
        <w:rPr>
          <w:rFonts w:ascii="仿宋_GB2312" w:eastAsia="仿宋_GB2312"/>
          <w:sz w:val="28"/>
          <w:szCs w:val="28"/>
        </w:rPr>
        <w:t>参</w:t>
      </w:r>
      <w:r>
        <w:rPr>
          <w:rFonts w:hint="eastAsia" w:ascii="仿宋_GB2312" w:eastAsia="仿宋_GB2312"/>
          <w:sz w:val="28"/>
          <w:szCs w:val="28"/>
        </w:rPr>
        <w:t>照</w:t>
      </w:r>
      <w:r>
        <w:rPr>
          <w:rFonts w:ascii="仿宋_GB2312" w:eastAsia="仿宋_GB2312"/>
          <w:sz w:val="28"/>
          <w:szCs w:val="28"/>
        </w:rPr>
        <w:t>公务员法管理事业单位</w:t>
      </w:r>
      <w:r>
        <w:rPr>
          <w:rFonts w:hint="eastAsia" w:ascii="仿宋_GB2312" w:eastAsia="仿宋_GB2312"/>
          <w:sz w:val="28"/>
          <w:szCs w:val="28"/>
        </w:rPr>
        <w:t>、</w:t>
      </w:r>
      <w:r>
        <w:rPr>
          <w:rFonts w:hint="eastAsia" w:ascii="仿宋_GB2312" w:eastAsia="仿宋_GB2312"/>
          <w:bCs/>
          <w:sz w:val="28"/>
          <w:szCs w:val="28"/>
          <w:lang w:val="en-US" w:eastAsia="zh-CN"/>
        </w:rPr>
        <w:t>1</w:t>
      </w:r>
      <w:r>
        <w:rPr>
          <w:rFonts w:hint="eastAsia" w:ascii="仿宋_GB2312" w:eastAsia="仿宋_GB2312"/>
          <w:bCs/>
          <w:sz w:val="28"/>
          <w:szCs w:val="28"/>
        </w:rPr>
        <w:t>个</w:t>
      </w:r>
      <w:r>
        <w:rPr>
          <w:rFonts w:hint="eastAsia" w:ascii="仿宋_GB2312" w:eastAsia="仿宋_GB2312"/>
          <w:sz w:val="28"/>
          <w:szCs w:val="28"/>
        </w:rPr>
        <w:t>事业单位。</w:t>
      </w:r>
      <w:r>
        <w:rPr>
          <w:rFonts w:eastAsia="仿宋_GB2312"/>
          <w:sz w:val="28"/>
          <w:szCs w:val="28"/>
        </w:rPr>
        <w:t>2022年度“三公”经费财政拨款决算数50.49万元，比2022年度“三公”经费财政拨款年初预算68.41万元减少17.92万元。其中：</w:t>
      </w:r>
    </w:p>
    <w:p>
      <w:pPr>
        <w:spacing w:line="560" w:lineRule="exact"/>
        <w:ind w:firstLine="600"/>
        <w:rPr>
          <w:rFonts w:eastAsia="仿宋_GB2312"/>
          <w:sz w:val="28"/>
          <w:szCs w:val="28"/>
        </w:rPr>
      </w:pPr>
      <w:r>
        <w:rPr>
          <w:rFonts w:eastAsia="仿宋_GB2312"/>
          <w:sz w:val="28"/>
          <w:szCs w:val="28"/>
        </w:rPr>
        <w:t>1.因公出国（境）费用。2022年度决算数0.00万元，与2022年度年初预算数0.00万元持平。</w:t>
      </w:r>
      <w:r>
        <w:rPr>
          <w:rFonts w:hint="eastAsia" w:ascii="仿宋_GB2312" w:eastAsia="仿宋_GB2312"/>
          <w:sz w:val="28"/>
          <w:szCs w:val="28"/>
        </w:rPr>
        <w:t>2022年度组织因公出国（境）团组</w:t>
      </w:r>
      <w:r>
        <w:rPr>
          <w:rFonts w:ascii="仿宋_GB2312" w:eastAsia="仿宋_GB2312"/>
          <w:sz w:val="28"/>
          <w:szCs w:val="28"/>
        </w:rPr>
        <w:t>0</w:t>
      </w:r>
      <w:r>
        <w:rPr>
          <w:rFonts w:hint="eastAsia" w:ascii="仿宋_GB2312" w:eastAsia="仿宋_GB2312"/>
          <w:sz w:val="28"/>
          <w:szCs w:val="28"/>
        </w:rPr>
        <w:t>个、</w:t>
      </w:r>
      <w:r>
        <w:rPr>
          <w:rFonts w:ascii="仿宋_GB2312" w:eastAsia="仿宋_GB2312"/>
          <w:sz w:val="28"/>
          <w:szCs w:val="28"/>
        </w:rPr>
        <w:t>0</w:t>
      </w:r>
      <w:r>
        <w:rPr>
          <w:rFonts w:hint="eastAsia" w:ascii="仿宋_GB2312" w:eastAsia="仿宋_GB2312"/>
          <w:sz w:val="28"/>
          <w:szCs w:val="28"/>
        </w:rPr>
        <w:t>人次，人均因公出国（境）费用</w:t>
      </w:r>
      <w:r>
        <w:rPr>
          <w:rFonts w:ascii="仿宋_GB2312" w:eastAsia="仿宋_GB2312"/>
          <w:sz w:val="28"/>
          <w:szCs w:val="28"/>
        </w:rPr>
        <w:t>0.00</w:t>
      </w:r>
      <w:r>
        <w:rPr>
          <w:rFonts w:hint="eastAsia" w:ascii="仿宋_GB2312" w:eastAsia="仿宋_GB2312"/>
          <w:sz w:val="28"/>
          <w:szCs w:val="28"/>
        </w:rPr>
        <w:t>万元。</w:t>
      </w:r>
    </w:p>
    <w:p>
      <w:pPr>
        <w:spacing w:line="560" w:lineRule="exact"/>
        <w:ind w:firstLine="600"/>
        <w:rPr>
          <w:rFonts w:eastAsia="仿宋_GB2312"/>
          <w:sz w:val="28"/>
          <w:szCs w:val="28"/>
        </w:rPr>
      </w:pPr>
      <w:r>
        <w:rPr>
          <w:rFonts w:eastAsia="仿宋_GB2312"/>
          <w:sz w:val="28"/>
          <w:szCs w:val="28"/>
        </w:rPr>
        <w:t>2.公务接待费。2022年度决算数0</w:t>
      </w:r>
      <w:r>
        <w:rPr>
          <w:rFonts w:hint="eastAsia" w:eastAsia="仿宋_GB2312"/>
          <w:sz w:val="28"/>
          <w:szCs w:val="28"/>
        </w:rPr>
        <w:t>.</w:t>
      </w:r>
      <w:r>
        <w:rPr>
          <w:rFonts w:eastAsia="仿宋_GB2312"/>
          <w:sz w:val="28"/>
          <w:szCs w:val="28"/>
        </w:rPr>
        <w:t>00万元，比2022年度年初预算数4.38万元减少4.38万元。主要原因：受疫情影响，学术交流来访人员减少。</w:t>
      </w:r>
      <w:r>
        <w:rPr>
          <w:rFonts w:hint="eastAsia" w:ascii="仿宋_GB2312" w:eastAsia="仿宋_GB2312"/>
          <w:sz w:val="28"/>
          <w:szCs w:val="28"/>
        </w:rPr>
        <w:t>公务接待</w:t>
      </w:r>
      <w:r>
        <w:rPr>
          <w:rFonts w:ascii="仿宋_GB2312" w:eastAsia="仿宋_GB2312"/>
          <w:sz w:val="28"/>
          <w:szCs w:val="28"/>
        </w:rPr>
        <w:t>0</w:t>
      </w:r>
      <w:r>
        <w:rPr>
          <w:rFonts w:hint="eastAsia" w:ascii="仿宋_GB2312" w:eastAsia="仿宋_GB2312"/>
          <w:sz w:val="28"/>
          <w:szCs w:val="28"/>
        </w:rPr>
        <w:t>批次，公务接待</w:t>
      </w:r>
      <w:r>
        <w:rPr>
          <w:rFonts w:ascii="仿宋_GB2312" w:eastAsia="仿宋_GB2312"/>
          <w:sz w:val="28"/>
          <w:szCs w:val="28"/>
        </w:rPr>
        <w:t>0</w:t>
      </w:r>
      <w:r>
        <w:rPr>
          <w:rFonts w:hint="eastAsia" w:ascii="仿宋_GB2312" w:eastAsia="仿宋_GB2312"/>
          <w:sz w:val="28"/>
          <w:szCs w:val="28"/>
        </w:rPr>
        <w:t>人次。</w:t>
      </w:r>
    </w:p>
    <w:p>
      <w:pPr>
        <w:spacing w:line="560" w:lineRule="exact"/>
        <w:ind w:firstLine="560" w:firstLineChars="200"/>
        <w:rPr>
          <w:rFonts w:eastAsia="仿宋_GB2312"/>
          <w:sz w:val="28"/>
          <w:szCs w:val="28"/>
        </w:rPr>
      </w:pPr>
      <w:r>
        <w:rPr>
          <w:rFonts w:eastAsia="仿宋_GB2312"/>
          <w:sz w:val="28"/>
          <w:szCs w:val="28"/>
        </w:rPr>
        <w:t>3.公务用车购置及运行维护费。2022年度决算数50.49万元，比2022年度年初预算数64.03万元减少13.54万元。其中，公务用车购置费2022年度决算数41.85万元，比2022年度年初预算数42.53万元减少0.68万元。主要原因：车辆购置税减半和政采价格调整。2022年度购置2辆，车均购置费20.93万元。公务用车运行维护费2022年度决算数8.64万元，比2022年度年初预算数21.5万元减少12.86万元，主要原因：受疫情影响，公车出行减少。2022年度公务用车运行维护费中，公务用车加油1.50万元，公务用车维修4.65万元，公务用车保险1.60万元，公务用车其他支出0.89万元。2022年度公务用车保有量9辆，车均运行维护费0.96万元。</w:t>
      </w:r>
    </w:p>
    <w:p>
      <w:pPr>
        <w:tabs>
          <w:tab w:val="center" w:pos="6979"/>
        </w:tabs>
        <w:ind w:firstLine="554" w:firstLineChars="198"/>
        <w:rPr>
          <w:rFonts w:eastAsia="黑体"/>
          <w:sz w:val="28"/>
          <w:szCs w:val="28"/>
        </w:rPr>
      </w:pPr>
      <w:r>
        <w:rPr>
          <w:rFonts w:eastAsia="黑体"/>
          <w:sz w:val="28"/>
          <w:szCs w:val="28"/>
        </w:rPr>
        <w:t>二、机关运行经费支出情况</w:t>
      </w:r>
    </w:p>
    <w:p>
      <w:pPr>
        <w:spacing w:line="560" w:lineRule="exact"/>
        <w:ind w:firstLine="560" w:firstLineChars="200"/>
        <w:rPr>
          <w:rFonts w:eastAsia="仿宋_GB2312"/>
          <w:sz w:val="28"/>
          <w:szCs w:val="28"/>
        </w:rPr>
      </w:pPr>
      <w:r>
        <w:rPr>
          <w:rFonts w:eastAsia="仿宋_GB2312"/>
          <w:sz w:val="28"/>
          <w:szCs w:val="28"/>
        </w:rPr>
        <w:t>不属于机关运行经费统计范围。</w:t>
      </w:r>
    </w:p>
    <w:p>
      <w:pPr>
        <w:ind w:left="540"/>
        <w:rPr>
          <w:rFonts w:eastAsia="黑体"/>
          <w:sz w:val="28"/>
          <w:szCs w:val="28"/>
        </w:rPr>
      </w:pPr>
      <w:r>
        <w:rPr>
          <w:rFonts w:eastAsia="黑体"/>
          <w:sz w:val="28"/>
          <w:szCs w:val="28"/>
        </w:rPr>
        <w:t>三、政府采购支出情况</w:t>
      </w:r>
    </w:p>
    <w:p>
      <w:pPr>
        <w:ind w:firstLine="537" w:firstLineChars="192"/>
        <w:rPr>
          <w:rFonts w:eastAsia="仿宋_GB2312"/>
          <w:sz w:val="28"/>
          <w:szCs w:val="28"/>
        </w:rPr>
      </w:pPr>
      <w:r>
        <w:rPr>
          <w:rFonts w:eastAsia="仿宋_GB2312"/>
          <w:sz w:val="28"/>
          <w:szCs w:val="28"/>
        </w:rPr>
        <w:t>2022年度政府采购支出总额10652.99万元，其中：政府采购货物支出1059.85万元，政府采购工程支出758.03万元，政府采购服务支出8835.11万元。授予中小企业合同金额9383.88万元，占政府采购支出总额的88.09%，其中：授予小微企业合同金额2390.28万元，占政府采购支出总额的22.44%。</w:t>
      </w:r>
    </w:p>
    <w:p>
      <w:pPr>
        <w:ind w:firstLine="560" w:firstLineChars="200"/>
        <w:rPr>
          <w:rFonts w:eastAsia="黑体"/>
          <w:sz w:val="28"/>
          <w:szCs w:val="28"/>
        </w:rPr>
      </w:pPr>
      <w:r>
        <w:rPr>
          <w:rFonts w:eastAsia="黑体"/>
          <w:sz w:val="28"/>
          <w:szCs w:val="28"/>
        </w:rPr>
        <w:t>四、国有资产占用情况</w:t>
      </w:r>
    </w:p>
    <w:p>
      <w:pPr>
        <w:ind w:firstLine="560" w:firstLineChars="200"/>
        <w:rPr>
          <w:rFonts w:eastAsia="仿宋_GB2312"/>
          <w:sz w:val="32"/>
          <w:szCs w:val="32"/>
        </w:rPr>
      </w:pPr>
      <w:r>
        <w:rPr>
          <w:rFonts w:eastAsia="仿宋_GB2312"/>
          <w:sz w:val="28"/>
          <w:szCs w:val="28"/>
        </w:rPr>
        <w:t>2022年度车辆9台，194.60万元；单位价值100万元（含）以上的设备41台（套）。</w:t>
      </w:r>
    </w:p>
    <w:p>
      <w:pPr>
        <w:ind w:firstLine="537" w:firstLineChars="192"/>
        <w:rPr>
          <w:rFonts w:eastAsia="黑体"/>
          <w:sz w:val="28"/>
          <w:szCs w:val="28"/>
        </w:rPr>
      </w:pPr>
      <w:r>
        <w:rPr>
          <w:rFonts w:eastAsia="黑体"/>
          <w:sz w:val="28"/>
          <w:szCs w:val="28"/>
        </w:rPr>
        <w:t>五、政府购买服务支出说明</w:t>
      </w:r>
    </w:p>
    <w:p>
      <w:pPr>
        <w:ind w:firstLine="560" w:firstLineChars="200"/>
        <w:rPr>
          <w:rFonts w:eastAsia="仿宋_GB2312"/>
          <w:sz w:val="28"/>
          <w:szCs w:val="28"/>
        </w:rPr>
      </w:pPr>
      <w:r>
        <w:rPr>
          <w:rFonts w:eastAsia="仿宋_GB2312"/>
          <w:sz w:val="28"/>
          <w:szCs w:val="28"/>
        </w:rPr>
        <w:t>不属于政府购买服务购买主体。</w:t>
      </w:r>
    </w:p>
    <w:p>
      <w:pPr>
        <w:ind w:firstLine="560" w:firstLineChars="200"/>
        <w:jc w:val="left"/>
        <w:rPr>
          <w:rFonts w:eastAsia="仿宋_GB2312"/>
          <w:color w:val="000000"/>
          <w:sz w:val="32"/>
          <w:szCs w:val="32"/>
        </w:rPr>
      </w:pPr>
      <w:r>
        <w:rPr>
          <w:rFonts w:eastAsia="黑体"/>
          <w:sz w:val="28"/>
          <w:szCs w:val="28"/>
        </w:rPr>
        <w:t>六、专业名词解释</w:t>
      </w:r>
    </w:p>
    <w:p>
      <w:pPr>
        <w:ind w:firstLine="560" w:firstLineChars="200"/>
        <w:rPr>
          <w:rFonts w:eastAsia="仿宋_GB2312"/>
          <w:sz w:val="28"/>
          <w:szCs w:val="28"/>
        </w:rPr>
      </w:pPr>
      <w:r>
        <w:rPr>
          <w:rFonts w:eastAsia="仿宋_GB2312"/>
          <w:sz w:val="28"/>
          <w:szCs w:val="28"/>
        </w:rPr>
        <w:t>1.基本支出：指为保障机构正常运转、完成日常工作任务而发生的人员支出和公用支出。</w:t>
      </w:r>
    </w:p>
    <w:p>
      <w:pPr>
        <w:ind w:firstLine="560" w:firstLineChars="200"/>
        <w:rPr>
          <w:rFonts w:eastAsia="仿宋_GB2312"/>
          <w:sz w:val="28"/>
          <w:szCs w:val="28"/>
        </w:rPr>
      </w:pPr>
      <w:r>
        <w:rPr>
          <w:rFonts w:eastAsia="仿宋_GB2312"/>
          <w:sz w:val="28"/>
          <w:szCs w:val="28"/>
        </w:rPr>
        <w:t>2.项目支出：指在基本支出之外为完成特定行政任务或事业发展目标所发生的支出。</w:t>
      </w:r>
    </w:p>
    <w:p>
      <w:pPr>
        <w:ind w:firstLine="560" w:firstLineChars="200"/>
        <w:rPr>
          <w:rFonts w:eastAsia="仿宋_GB2312"/>
          <w:sz w:val="28"/>
          <w:szCs w:val="28"/>
        </w:rPr>
      </w:pPr>
      <w:r>
        <w:rPr>
          <w:rFonts w:eastAsia="仿宋_GB2312"/>
          <w:sz w:val="28"/>
          <w:szCs w:val="28"/>
        </w:rPr>
        <w:t>3.“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eastAsia="仿宋_GB2312"/>
          <w:sz w:val="28"/>
          <w:szCs w:val="28"/>
        </w:rPr>
      </w:pPr>
      <w:r>
        <w:rPr>
          <w:rFonts w:eastAsia="仿宋_GB2312"/>
          <w:sz w:val="28"/>
          <w:szCs w:val="28"/>
        </w:rPr>
        <w:t>4.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eastAsia="仿宋_GB2312"/>
          <w:sz w:val="28"/>
          <w:szCs w:val="28"/>
        </w:rPr>
      </w:pPr>
      <w:r>
        <w:rPr>
          <w:rFonts w:eastAsia="仿宋_GB2312"/>
          <w:sz w:val="28"/>
          <w:szCs w:val="28"/>
        </w:rPr>
        <w:t>5.政府采购：指各级国家机关、事业单位和团体组织，使用财政性资金采购依法制定的集中目录以内的或者采购限额标准以上的货物、工程和服务的行为，是规范财政支出管理和强化预算约束的有效措施。</w:t>
      </w:r>
    </w:p>
    <w:p>
      <w:pPr>
        <w:ind w:firstLine="420" w:firstLineChars="150"/>
        <w:rPr>
          <w:rFonts w:eastAsia="仿宋_GB2312"/>
          <w:sz w:val="28"/>
          <w:szCs w:val="28"/>
        </w:rPr>
      </w:pPr>
      <w:r>
        <w:rPr>
          <w:rFonts w:eastAsia="仿宋_GB2312"/>
          <w:sz w:val="28"/>
          <w:szCs w:val="28"/>
        </w:rPr>
        <w:t>6.政府购买服务：是指各级国家机关将属于自身职责范围且适合通过市场化方式提供的服务事项，按照政府采购方式和程序，交由符合条件的服务供应商承担，并根据服务数量和质量等因素向其支付费用的行为。</w:t>
      </w:r>
    </w:p>
    <w:p>
      <w:pPr>
        <w:ind w:firstLine="420" w:firstLineChars="150"/>
        <w:rPr>
          <w:rFonts w:eastAsia="仿宋_GB2312"/>
          <w:sz w:val="28"/>
          <w:szCs w:val="28"/>
        </w:rPr>
      </w:pPr>
      <w:r>
        <w:rPr>
          <w:rFonts w:hint="eastAsia" w:eastAsia="仿宋_GB2312"/>
          <w:sz w:val="28"/>
          <w:szCs w:val="28"/>
        </w:rPr>
        <w:t>7.教育支出</w:t>
      </w:r>
      <w:r>
        <w:rPr>
          <w:rFonts w:eastAsia="仿宋_GB2312"/>
          <w:sz w:val="28"/>
          <w:szCs w:val="28"/>
        </w:rPr>
        <w:t>（类）</w:t>
      </w:r>
      <w:r>
        <w:rPr>
          <w:rFonts w:hint="eastAsia" w:eastAsia="仿宋_GB2312"/>
          <w:sz w:val="28"/>
          <w:szCs w:val="28"/>
        </w:rPr>
        <w:t>普通教育（款）</w:t>
      </w:r>
      <w:r>
        <w:rPr>
          <w:rFonts w:eastAsia="仿宋_GB2312"/>
          <w:sz w:val="28"/>
          <w:szCs w:val="28"/>
        </w:rPr>
        <w:t>高等教育（项）</w:t>
      </w:r>
      <w:r>
        <w:rPr>
          <w:rFonts w:hint="eastAsia" w:eastAsia="仿宋_GB2312"/>
          <w:sz w:val="28"/>
          <w:szCs w:val="28"/>
        </w:rPr>
        <w:t>：反映各部门举办的普通本科</w:t>
      </w:r>
      <w:r>
        <w:rPr>
          <w:rFonts w:eastAsia="仿宋_GB2312"/>
          <w:sz w:val="28"/>
          <w:szCs w:val="28"/>
        </w:rPr>
        <w:t>(包括研究生)教育支出。政府各部门对社会组织等举办的普通本科高等院校 (包括研究生)的资助，如捐赠、补贴等，也在本科目中反映。</w:t>
      </w:r>
    </w:p>
    <w:p>
      <w:pPr>
        <w:ind w:firstLine="420" w:firstLineChars="150"/>
        <w:rPr>
          <w:rFonts w:eastAsia="仿宋_GB2312"/>
          <w:sz w:val="28"/>
          <w:szCs w:val="28"/>
        </w:rPr>
      </w:pPr>
      <w:r>
        <w:rPr>
          <w:rFonts w:eastAsia="仿宋_GB2312"/>
          <w:sz w:val="28"/>
          <w:szCs w:val="28"/>
        </w:rPr>
        <w:t>8</w:t>
      </w:r>
      <w:r>
        <w:rPr>
          <w:rFonts w:hint="eastAsia" w:eastAsia="仿宋_GB2312"/>
          <w:sz w:val="28"/>
          <w:szCs w:val="28"/>
        </w:rPr>
        <w:t>.教育支出</w:t>
      </w:r>
      <w:r>
        <w:rPr>
          <w:rFonts w:eastAsia="仿宋_GB2312"/>
          <w:sz w:val="28"/>
          <w:szCs w:val="28"/>
        </w:rPr>
        <w:t>（类）</w:t>
      </w:r>
      <w:r>
        <w:rPr>
          <w:rFonts w:hint="eastAsia" w:eastAsia="仿宋_GB2312"/>
          <w:sz w:val="28"/>
          <w:szCs w:val="28"/>
        </w:rPr>
        <w:t>职业教育（款）</w:t>
      </w:r>
      <w:r>
        <w:rPr>
          <w:rFonts w:eastAsia="仿宋_GB2312"/>
          <w:sz w:val="28"/>
          <w:szCs w:val="28"/>
        </w:rPr>
        <w:t>中等职业教育（项）</w:t>
      </w:r>
      <w:r>
        <w:rPr>
          <w:rFonts w:hint="eastAsia" w:eastAsia="仿宋_GB2312"/>
          <w:sz w:val="28"/>
          <w:szCs w:val="28"/>
        </w:rPr>
        <w:t>：反映各部门</w:t>
      </w:r>
      <w:r>
        <w:rPr>
          <w:rFonts w:eastAsia="仿宋_GB2312"/>
          <w:sz w:val="28"/>
          <w:szCs w:val="28"/>
        </w:rPr>
        <w:t>(不含人力资源社会保障部门) 举办的中等职业教育支出。政府各部门对社会组织等举办的中等职业学校的资助，如捐赠、补贴等，也在本科目中反映。</w:t>
      </w:r>
    </w:p>
    <w:p>
      <w:pPr>
        <w:ind w:firstLine="562" w:firstLineChars="200"/>
        <w:jc w:val="center"/>
        <w:rPr>
          <w:rFonts w:eastAsia="仿宋_GB2312"/>
          <w:b/>
          <w:bCs/>
          <w:sz w:val="28"/>
          <w:szCs w:val="28"/>
        </w:rPr>
      </w:pPr>
    </w:p>
    <w:p>
      <w:pPr>
        <w:rPr>
          <w:rFonts w:eastAsia="仿宋_GB2312"/>
          <w:b/>
          <w:bCs/>
          <w:sz w:val="28"/>
          <w:szCs w:val="28"/>
        </w:rPr>
      </w:pPr>
      <w:r>
        <w:rPr>
          <w:rFonts w:eastAsia="仿宋_GB2312"/>
          <w:b/>
          <w:bCs/>
          <w:sz w:val="28"/>
          <w:szCs w:val="28"/>
        </w:rPr>
        <w:br w:type="page"/>
      </w:r>
    </w:p>
    <w:p>
      <w:pPr>
        <w:pStyle w:val="2"/>
      </w:pPr>
    </w:p>
    <w:p>
      <w:pPr>
        <w:pStyle w:val="2"/>
        <w:ind w:firstLine="0" w:firstLineChars="0"/>
        <w:rPr>
          <w:rFonts w:hint="eastAsia"/>
        </w:rPr>
      </w:pPr>
    </w:p>
    <w:p>
      <w:pPr>
        <w:ind w:firstLine="640" w:firstLineChars="200"/>
        <w:jc w:val="center"/>
        <w:rPr>
          <w:rFonts w:eastAsia="黑体"/>
          <w:sz w:val="32"/>
          <w:szCs w:val="32"/>
        </w:rPr>
      </w:pPr>
      <w:r>
        <w:rPr>
          <w:rFonts w:eastAsia="黑体"/>
          <w:sz w:val="32"/>
          <w:szCs w:val="32"/>
        </w:rPr>
        <w:t>第四部分  2022年度部门绩效评价情况</w:t>
      </w:r>
    </w:p>
    <w:p>
      <w:pPr>
        <w:ind w:firstLine="560" w:firstLineChars="200"/>
        <w:rPr>
          <w:rFonts w:eastAsia="仿宋_GB2312"/>
          <w:sz w:val="28"/>
          <w:szCs w:val="28"/>
        </w:rPr>
      </w:pPr>
      <w:r>
        <w:rPr>
          <w:rFonts w:eastAsia="仿宋_GB2312"/>
          <w:sz w:val="28"/>
          <w:szCs w:val="28"/>
        </w:rPr>
        <w:t>项目支出绩效自评表详见附件。</w:t>
      </w:r>
    </w:p>
    <w:p>
      <w:pPr>
        <w:pStyle w:val="2"/>
        <w:ind w:firstLine="0" w:firstLineChars="0"/>
        <w:rPr>
          <w:rFonts w:eastAsia="黑体"/>
          <w:sz w:val="32"/>
          <w:szCs w:val="32"/>
        </w:rPr>
      </w:pPr>
    </w:p>
    <w:sectPr>
      <w:footerReference r:id="rId7" w:type="default"/>
      <w:footerReference r:id="rId8" w:type="even"/>
      <w:pgSz w:w="16838" w:h="11906" w:orient="landscape"/>
      <w:pgMar w:top="1588" w:right="1911" w:bottom="1474" w:left="1882" w:header="851"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7</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0354747"/>
      <w:docPartObj>
        <w:docPartGallery w:val="autotext"/>
      </w:docPartObj>
    </w:sdtPr>
    <w:sdtContent>
      <w:p>
        <w:pPr>
          <w:pStyle w:val="7"/>
          <w:jc w:val="center"/>
        </w:pPr>
        <w:r>
          <w:fldChar w:fldCharType="begin"/>
        </w:r>
        <w:r>
          <w:instrText xml:space="preserve">PAGE   \* MERGEFORMAT</w:instrText>
        </w:r>
        <w:r>
          <w:fldChar w:fldCharType="separate"/>
        </w:r>
        <w:r>
          <w:rPr>
            <w:lang w:val="zh-CN"/>
          </w:rPr>
          <w:t>1</w:t>
        </w:r>
        <w:r>
          <w:fldChar w:fldCharType="end"/>
        </w:r>
      </w:p>
    </w:sdtContent>
  </w:sdt>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70485502"/>
      <w:docPartObj>
        <w:docPartGallery w:val="autotext"/>
      </w:docPartObj>
    </w:sdtPr>
    <w:sdtContent>
      <w:p>
        <w:pPr>
          <w:pStyle w:val="7"/>
          <w:jc w:val="center"/>
        </w:pPr>
        <w:r>
          <w:fldChar w:fldCharType="begin"/>
        </w:r>
        <w:r>
          <w:instrText xml:space="preserve">PAGE   \* MERGEFORMAT</w:instrText>
        </w:r>
        <w:r>
          <w:fldChar w:fldCharType="separate"/>
        </w:r>
        <w:r>
          <w:rPr>
            <w:lang w:val="zh-CN"/>
          </w:rPr>
          <w:t>1</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11</w:t>
    </w:r>
    <w:r>
      <w:fldChar w:fldCharType="end"/>
    </w:r>
  </w:p>
  <w:p>
    <w:pPr>
      <w:pStyle w:val="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pPr>
      <w:pStyle w:val="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jNmQ3ZjYxYmE5Yjg4ODU3YzkxYzIxYTJmY2M3MGUifQ=="/>
  </w:docVars>
  <w:rsids>
    <w:rsidRoot w:val="00100246"/>
    <w:rsid w:val="00003B03"/>
    <w:rsid w:val="000040E6"/>
    <w:rsid w:val="00006705"/>
    <w:rsid w:val="00011D72"/>
    <w:rsid w:val="0001650C"/>
    <w:rsid w:val="0002379B"/>
    <w:rsid w:val="00027CD5"/>
    <w:rsid w:val="00031912"/>
    <w:rsid w:val="00031B8E"/>
    <w:rsid w:val="00033EC1"/>
    <w:rsid w:val="00034224"/>
    <w:rsid w:val="0003637D"/>
    <w:rsid w:val="00040275"/>
    <w:rsid w:val="00040B00"/>
    <w:rsid w:val="0004334A"/>
    <w:rsid w:val="0004719C"/>
    <w:rsid w:val="00047F6E"/>
    <w:rsid w:val="00051B00"/>
    <w:rsid w:val="00052CBE"/>
    <w:rsid w:val="000601B1"/>
    <w:rsid w:val="00063034"/>
    <w:rsid w:val="00066E19"/>
    <w:rsid w:val="0006752F"/>
    <w:rsid w:val="00071797"/>
    <w:rsid w:val="00071860"/>
    <w:rsid w:val="0007258E"/>
    <w:rsid w:val="00077A9E"/>
    <w:rsid w:val="00077F4A"/>
    <w:rsid w:val="00077FE5"/>
    <w:rsid w:val="00080447"/>
    <w:rsid w:val="000837EC"/>
    <w:rsid w:val="00085663"/>
    <w:rsid w:val="00095948"/>
    <w:rsid w:val="00095C26"/>
    <w:rsid w:val="00096504"/>
    <w:rsid w:val="00096B86"/>
    <w:rsid w:val="000A15B3"/>
    <w:rsid w:val="000A1770"/>
    <w:rsid w:val="000A283C"/>
    <w:rsid w:val="000A6ED1"/>
    <w:rsid w:val="000B15B7"/>
    <w:rsid w:val="000B464D"/>
    <w:rsid w:val="000B70F1"/>
    <w:rsid w:val="000C3BEC"/>
    <w:rsid w:val="000C4611"/>
    <w:rsid w:val="000C622B"/>
    <w:rsid w:val="000D1B61"/>
    <w:rsid w:val="000D6854"/>
    <w:rsid w:val="000E0B26"/>
    <w:rsid w:val="000E3291"/>
    <w:rsid w:val="000F08FE"/>
    <w:rsid w:val="000F208B"/>
    <w:rsid w:val="000F2A48"/>
    <w:rsid w:val="000F49BE"/>
    <w:rsid w:val="00100246"/>
    <w:rsid w:val="0010682D"/>
    <w:rsid w:val="001073C6"/>
    <w:rsid w:val="00107DB5"/>
    <w:rsid w:val="00110BFB"/>
    <w:rsid w:val="00111637"/>
    <w:rsid w:val="00113613"/>
    <w:rsid w:val="0011483D"/>
    <w:rsid w:val="00115724"/>
    <w:rsid w:val="00122BA1"/>
    <w:rsid w:val="00130995"/>
    <w:rsid w:val="00131FF9"/>
    <w:rsid w:val="00132320"/>
    <w:rsid w:val="00135B6A"/>
    <w:rsid w:val="001369A7"/>
    <w:rsid w:val="001428C5"/>
    <w:rsid w:val="001503D8"/>
    <w:rsid w:val="00157540"/>
    <w:rsid w:val="0016322C"/>
    <w:rsid w:val="0017111F"/>
    <w:rsid w:val="00173CF6"/>
    <w:rsid w:val="00175478"/>
    <w:rsid w:val="00177915"/>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C7432"/>
    <w:rsid w:val="001D78D9"/>
    <w:rsid w:val="001E0556"/>
    <w:rsid w:val="001E2355"/>
    <w:rsid w:val="001E2379"/>
    <w:rsid w:val="001E29A9"/>
    <w:rsid w:val="001E2A0E"/>
    <w:rsid w:val="001F5857"/>
    <w:rsid w:val="00206EC3"/>
    <w:rsid w:val="0021047C"/>
    <w:rsid w:val="00211E4E"/>
    <w:rsid w:val="00213D1C"/>
    <w:rsid w:val="00214C3A"/>
    <w:rsid w:val="00217517"/>
    <w:rsid w:val="00222628"/>
    <w:rsid w:val="00222E85"/>
    <w:rsid w:val="002253CB"/>
    <w:rsid w:val="002326DE"/>
    <w:rsid w:val="00234314"/>
    <w:rsid w:val="00241724"/>
    <w:rsid w:val="0024390C"/>
    <w:rsid w:val="002441F4"/>
    <w:rsid w:val="00244204"/>
    <w:rsid w:val="002448A4"/>
    <w:rsid w:val="00245A0A"/>
    <w:rsid w:val="00246C42"/>
    <w:rsid w:val="002515CC"/>
    <w:rsid w:val="00253EC4"/>
    <w:rsid w:val="00254331"/>
    <w:rsid w:val="00254515"/>
    <w:rsid w:val="0025771F"/>
    <w:rsid w:val="0026479D"/>
    <w:rsid w:val="00266BE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96F1D"/>
    <w:rsid w:val="002A1488"/>
    <w:rsid w:val="002A4C2B"/>
    <w:rsid w:val="002A5682"/>
    <w:rsid w:val="002B19D0"/>
    <w:rsid w:val="002B3682"/>
    <w:rsid w:val="002B3DDB"/>
    <w:rsid w:val="002B5464"/>
    <w:rsid w:val="002C03A3"/>
    <w:rsid w:val="002C0443"/>
    <w:rsid w:val="002C12FB"/>
    <w:rsid w:val="002C24BC"/>
    <w:rsid w:val="002C3C74"/>
    <w:rsid w:val="002C4471"/>
    <w:rsid w:val="002C4AFA"/>
    <w:rsid w:val="002D03C6"/>
    <w:rsid w:val="002D0FDF"/>
    <w:rsid w:val="002D3955"/>
    <w:rsid w:val="002D68A9"/>
    <w:rsid w:val="002E06AE"/>
    <w:rsid w:val="002E07BF"/>
    <w:rsid w:val="002E4B75"/>
    <w:rsid w:val="002E68DD"/>
    <w:rsid w:val="002F17C2"/>
    <w:rsid w:val="002F32EE"/>
    <w:rsid w:val="002F4054"/>
    <w:rsid w:val="002F5574"/>
    <w:rsid w:val="00301D20"/>
    <w:rsid w:val="00302B19"/>
    <w:rsid w:val="00303428"/>
    <w:rsid w:val="00304971"/>
    <w:rsid w:val="003053C4"/>
    <w:rsid w:val="003058A3"/>
    <w:rsid w:val="00307DA5"/>
    <w:rsid w:val="0031169D"/>
    <w:rsid w:val="0031170D"/>
    <w:rsid w:val="00313E14"/>
    <w:rsid w:val="003167DD"/>
    <w:rsid w:val="003169E0"/>
    <w:rsid w:val="00320C8B"/>
    <w:rsid w:val="00321BD8"/>
    <w:rsid w:val="00325687"/>
    <w:rsid w:val="003272E0"/>
    <w:rsid w:val="00332C14"/>
    <w:rsid w:val="00335079"/>
    <w:rsid w:val="003352CE"/>
    <w:rsid w:val="00336258"/>
    <w:rsid w:val="00337004"/>
    <w:rsid w:val="00341473"/>
    <w:rsid w:val="00341D8E"/>
    <w:rsid w:val="003502B9"/>
    <w:rsid w:val="00350B2B"/>
    <w:rsid w:val="00351B8F"/>
    <w:rsid w:val="00353226"/>
    <w:rsid w:val="00353717"/>
    <w:rsid w:val="00354630"/>
    <w:rsid w:val="00355824"/>
    <w:rsid w:val="00362FBC"/>
    <w:rsid w:val="00364395"/>
    <w:rsid w:val="00365A24"/>
    <w:rsid w:val="003712DB"/>
    <w:rsid w:val="00373DDC"/>
    <w:rsid w:val="00382A86"/>
    <w:rsid w:val="003836FD"/>
    <w:rsid w:val="00383BCC"/>
    <w:rsid w:val="00385243"/>
    <w:rsid w:val="003925D4"/>
    <w:rsid w:val="0039318C"/>
    <w:rsid w:val="00393286"/>
    <w:rsid w:val="00393366"/>
    <w:rsid w:val="003937DC"/>
    <w:rsid w:val="00393D75"/>
    <w:rsid w:val="00394FE1"/>
    <w:rsid w:val="003A16A8"/>
    <w:rsid w:val="003A2F2D"/>
    <w:rsid w:val="003A32C5"/>
    <w:rsid w:val="003A43AC"/>
    <w:rsid w:val="003A4EB6"/>
    <w:rsid w:val="003A7AE9"/>
    <w:rsid w:val="003A7BC5"/>
    <w:rsid w:val="003A7FF5"/>
    <w:rsid w:val="003B0352"/>
    <w:rsid w:val="003B4437"/>
    <w:rsid w:val="003B48C4"/>
    <w:rsid w:val="003B5E20"/>
    <w:rsid w:val="003B6DAD"/>
    <w:rsid w:val="003B735F"/>
    <w:rsid w:val="003C030C"/>
    <w:rsid w:val="003C16F3"/>
    <w:rsid w:val="003C185C"/>
    <w:rsid w:val="003C55FC"/>
    <w:rsid w:val="003D0EC3"/>
    <w:rsid w:val="003D1515"/>
    <w:rsid w:val="003D7274"/>
    <w:rsid w:val="003E2CB7"/>
    <w:rsid w:val="003E4D82"/>
    <w:rsid w:val="003E5BC1"/>
    <w:rsid w:val="003F0D1B"/>
    <w:rsid w:val="003F1DD6"/>
    <w:rsid w:val="003F5295"/>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485"/>
    <w:rsid w:val="00435830"/>
    <w:rsid w:val="0043619C"/>
    <w:rsid w:val="0044475D"/>
    <w:rsid w:val="00444D1E"/>
    <w:rsid w:val="0044571A"/>
    <w:rsid w:val="0044705D"/>
    <w:rsid w:val="004475CF"/>
    <w:rsid w:val="0045090E"/>
    <w:rsid w:val="00451B95"/>
    <w:rsid w:val="0045354F"/>
    <w:rsid w:val="00453E36"/>
    <w:rsid w:val="00457286"/>
    <w:rsid w:val="00461FA5"/>
    <w:rsid w:val="00463566"/>
    <w:rsid w:val="00464182"/>
    <w:rsid w:val="00471C52"/>
    <w:rsid w:val="00472ACF"/>
    <w:rsid w:val="00473911"/>
    <w:rsid w:val="0047460C"/>
    <w:rsid w:val="00474FF2"/>
    <w:rsid w:val="00480098"/>
    <w:rsid w:val="00482CD5"/>
    <w:rsid w:val="00484A93"/>
    <w:rsid w:val="00485E12"/>
    <w:rsid w:val="004860BA"/>
    <w:rsid w:val="004865DA"/>
    <w:rsid w:val="0048779C"/>
    <w:rsid w:val="00487AB7"/>
    <w:rsid w:val="00487ED0"/>
    <w:rsid w:val="00491D09"/>
    <w:rsid w:val="0049682C"/>
    <w:rsid w:val="004A1618"/>
    <w:rsid w:val="004A168E"/>
    <w:rsid w:val="004A1955"/>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06E2"/>
    <w:rsid w:val="005122B5"/>
    <w:rsid w:val="0052381C"/>
    <w:rsid w:val="005346B3"/>
    <w:rsid w:val="0054051C"/>
    <w:rsid w:val="00546A84"/>
    <w:rsid w:val="00547BE2"/>
    <w:rsid w:val="0055353D"/>
    <w:rsid w:val="0056187C"/>
    <w:rsid w:val="0057282C"/>
    <w:rsid w:val="00576B03"/>
    <w:rsid w:val="00577116"/>
    <w:rsid w:val="0058144F"/>
    <w:rsid w:val="00581E1A"/>
    <w:rsid w:val="00591655"/>
    <w:rsid w:val="00591BEC"/>
    <w:rsid w:val="005940EA"/>
    <w:rsid w:val="00594448"/>
    <w:rsid w:val="005A1D6F"/>
    <w:rsid w:val="005A4D82"/>
    <w:rsid w:val="005A52A6"/>
    <w:rsid w:val="005B0DEC"/>
    <w:rsid w:val="005B368E"/>
    <w:rsid w:val="005B6E69"/>
    <w:rsid w:val="005C0015"/>
    <w:rsid w:val="005C1E82"/>
    <w:rsid w:val="005C2726"/>
    <w:rsid w:val="005C2BCE"/>
    <w:rsid w:val="005C2CA5"/>
    <w:rsid w:val="005C7062"/>
    <w:rsid w:val="005C7788"/>
    <w:rsid w:val="005D10B9"/>
    <w:rsid w:val="005D1614"/>
    <w:rsid w:val="005D18DA"/>
    <w:rsid w:val="005D64B4"/>
    <w:rsid w:val="005E00DC"/>
    <w:rsid w:val="005E3BBC"/>
    <w:rsid w:val="005E3EC6"/>
    <w:rsid w:val="005E4E07"/>
    <w:rsid w:val="005E4E46"/>
    <w:rsid w:val="005E5275"/>
    <w:rsid w:val="005E7DC8"/>
    <w:rsid w:val="005E7EC9"/>
    <w:rsid w:val="005F7087"/>
    <w:rsid w:val="005F7B2E"/>
    <w:rsid w:val="00600070"/>
    <w:rsid w:val="00611BE4"/>
    <w:rsid w:val="0061219B"/>
    <w:rsid w:val="00621419"/>
    <w:rsid w:val="00626446"/>
    <w:rsid w:val="00626BE8"/>
    <w:rsid w:val="00631827"/>
    <w:rsid w:val="00632804"/>
    <w:rsid w:val="00632E01"/>
    <w:rsid w:val="006376DA"/>
    <w:rsid w:val="006459DA"/>
    <w:rsid w:val="0064604F"/>
    <w:rsid w:val="006502E8"/>
    <w:rsid w:val="00654A2B"/>
    <w:rsid w:val="00654AF8"/>
    <w:rsid w:val="0065675C"/>
    <w:rsid w:val="0065793F"/>
    <w:rsid w:val="0066263B"/>
    <w:rsid w:val="006631F2"/>
    <w:rsid w:val="0066713A"/>
    <w:rsid w:val="00670E58"/>
    <w:rsid w:val="0067195C"/>
    <w:rsid w:val="006724F7"/>
    <w:rsid w:val="00673F0D"/>
    <w:rsid w:val="0067511A"/>
    <w:rsid w:val="0067539B"/>
    <w:rsid w:val="00675543"/>
    <w:rsid w:val="00677396"/>
    <w:rsid w:val="00677AD9"/>
    <w:rsid w:val="00681970"/>
    <w:rsid w:val="00687AAB"/>
    <w:rsid w:val="00690641"/>
    <w:rsid w:val="00690D88"/>
    <w:rsid w:val="00691056"/>
    <w:rsid w:val="00691844"/>
    <w:rsid w:val="006935A0"/>
    <w:rsid w:val="00693DDF"/>
    <w:rsid w:val="00695186"/>
    <w:rsid w:val="00696F9E"/>
    <w:rsid w:val="006A28DC"/>
    <w:rsid w:val="006A3203"/>
    <w:rsid w:val="006A374A"/>
    <w:rsid w:val="006A505E"/>
    <w:rsid w:val="006A513E"/>
    <w:rsid w:val="006A5265"/>
    <w:rsid w:val="006A6B6E"/>
    <w:rsid w:val="006B0CB9"/>
    <w:rsid w:val="006B2609"/>
    <w:rsid w:val="006B2750"/>
    <w:rsid w:val="006B3678"/>
    <w:rsid w:val="006B7390"/>
    <w:rsid w:val="006C0084"/>
    <w:rsid w:val="006C107D"/>
    <w:rsid w:val="006C3600"/>
    <w:rsid w:val="006C4534"/>
    <w:rsid w:val="006C5205"/>
    <w:rsid w:val="006C5D9D"/>
    <w:rsid w:val="006C75F6"/>
    <w:rsid w:val="006D2969"/>
    <w:rsid w:val="006D3F53"/>
    <w:rsid w:val="006D60AF"/>
    <w:rsid w:val="006E2D6D"/>
    <w:rsid w:val="006E4722"/>
    <w:rsid w:val="006F0A6A"/>
    <w:rsid w:val="006F13F8"/>
    <w:rsid w:val="006F315B"/>
    <w:rsid w:val="006F5F14"/>
    <w:rsid w:val="00701651"/>
    <w:rsid w:val="007049BF"/>
    <w:rsid w:val="00704E79"/>
    <w:rsid w:val="00707A26"/>
    <w:rsid w:val="0071120F"/>
    <w:rsid w:val="007147BA"/>
    <w:rsid w:val="00716380"/>
    <w:rsid w:val="00722165"/>
    <w:rsid w:val="007249B8"/>
    <w:rsid w:val="00724B1C"/>
    <w:rsid w:val="007332A5"/>
    <w:rsid w:val="00734B11"/>
    <w:rsid w:val="0073581D"/>
    <w:rsid w:val="007428F0"/>
    <w:rsid w:val="007512EF"/>
    <w:rsid w:val="00753D74"/>
    <w:rsid w:val="007551AC"/>
    <w:rsid w:val="00755B5F"/>
    <w:rsid w:val="0076101C"/>
    <w:rsid w:val="00763D87"/>
    <w:rsid w:val="007670B2"/>
    <w:rsid w:val="00771795"/>
    <w:rsid w:val="00774925"/>
    <w:rsid w:val="00785B8E"/>
    <w:rsid w:val="0079279F"/>
    <w:rsid w:val="00793E69"/>
    <w:rsid w:val="007A063C"/>
    <w:rsid w:val="007A16B0"/>
    <w:rsid w:val="007A19EA"/>
    <w:rsid w:val="007A6092"/>
    <w:rsid w:val="007A60B7"/>
    <w:rsid w:val="007A64A6"/>
    <w:rsid w:val="007A6EE1"/>
    <w:rsid w:val="007A710F"/>
    <w:rsid w:val="007A7C89"/>
    <w:rsid w:val="007B1487"/>
    <w:rsid w:val="007B2A43"/>
    <w:rsid w:val="007B326F"/>
    <w:rsid w:val="007B4CAB"/>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1CAF"/>
    <w:rsid w:val="007F2E82"/>
    <w:rsid w:val="007F4558"/>
    <w:rsid w:val="007F4568"/>
    <w:rsid w:val="007F64DF"/>
    <w:rsid w:val="008050EF"/>
    <w:rsid w:val="00805507"/>
    <w:rsid w:val="0080652C"/>
    <w:rsid w:val="0080715F"/>
    <w:rsid w:val="008113D6"/>
    <w:rsid w:val="00812BA7"/>
    <w:rsid w:val="00812DAF"/>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458A9"/>
    <w:rsid w:val="00850708"/>
    <w:rsid w:val="00851024"/>
    <w:rsid w:val="008526D7"/>
    <w:rsid w:val="0086238C"/>
    <w:rsid w:val="008655DC"/>
    <w:rsid w:val="0086732D"/>
    <w:rsid w:val="00870183"/>
    <w:rsid w:val="00875726"/>
    <w:rsid w:val="00877F10"/>
    <w:rsid w:val="0088225D"/>
    <w:rsid w:val="00882F8D"/>
    <w:rsid w:val="00884FB0"/>
    <w:rsid w:val="008853A5"/>
    <w:rsid w:val="0088706C"/>
    <w:rsid w:val="008944DA"/>
    <w:rsid w:val="00894D78"/>
    <w:rsid w:val="008A6A18"/>
    <w:rsid w:val="008B033F"/>
    <w:rsid w:val="008B4003"/>
    <w:rsid w:val="008B7443"/>
    <w:rsid w:val="008B7F2B"/>
    <w:rsid w:val="008C179E"/>
    <w:rsid w:val="008C2379"/>
    <w:rsid w:val="008C4FF7"/>
    <w:rsid w:val="008C5C4C"/>
    <w:rsid w:val="008C7056"/>
    <w:rsid w:val="008C706D"/>
    <w:rsid w:val="008D3145"/>
    <w:rsid w:val="008D4700"/>
    <w:rsid w:val="008E1A54"/>
    <w:rsid w:val="008E1F95"/>
    <w:rsid w:val="008E36B6"/>
    <w:rsid w:val="008E4267"/>
    <w:rsid w:val="008E4847"/>
    <w:rsid w:val="008E5D18"/>
    <w:rsid w:val="008E5FF1"/>
    <w:rsid w:val="008E63D2"/>
    <w:rsid w:val="008E6882"/>
    <w:rsid w:val="008E6E14"/>
    <w:rsid w:val="008F1528"/>
    <w:rsid w:val="008F1AE5"/>
    <w:rsid w:val="008F55D9"/>
    <w:rsid w:val="008F7D09"/>
    <w:rsid w:val="009057DE"/>
    <w:rsid w:val="00905F97"/>
    <w:rsid w:val="00906FA3"/>
    <w:rsid w:val="009102A8"/>
    <w:rsid w:val="0091239D"/>
    <w:rsid w:val="00912825"/>
    <w:rsid w:val="009129B8"/>
    <w:rsid w:val="00912B99"/>
    <w:rsid w:val="00912C78"/>
    <w:rsid w:val="00913730"/>
    <w:rsid w:val="0091737C"/>
    <w:rsid w:val="009176B7"/>
    <w:rsid w:val="00917D21"/>
    <w:rsid w:val="00927892"/>
    <w:rsid w:val="009319B9"/>
    <w:rsid w:val="009351E9"/>
    <w:rsid w:val="00937862"/>
    <w:rsid w:val="00942279"/>
    <w:rsid w:val="009524EB"/>
    <w:rsid w:val="00962013"/>
    <w:rsid w:val="00963942"/>
    <w:rsid w:val="0096716C"/>
    <w:rsid w:val="009672B2"/>
    <w:rsid w:val="00971C66"/>
    <w:rsid w:val="00972363"/>
    <w:rsid w:val="00977ED6"/>
    <w:rsid w:val="009821A5"/>
    <w:rsid w:val="0098419C"/>
    <w:rsid w:val="009843EF"/>
    <w:rsid w:val="00986785"/>
    <w:rsid w:val="009867F2"/>
    <w:rsid w:val="00987D73"/>
    <w:rsid w:val="00991347"/>
    <w:rsid w:val="00996018"/>
    <w:rsid w:val="0099738E"/>
    <w:rsid w:val="009A0379"/>
    <w:rsid w:val="009A27ED"/>
    <w:rsid w:val="009A493E"/>
    <w:rsid w:val="009A531F"/>
    <w:rsid w:val="009A6931"/>
    <w:rsid w:val="009B17A5"/>
    <w:rsid w:val="009B1F9A"/>
    <w:rsid w:val="009B1FA9"/>
    <w:rsid w:val="009B349F"/>
    <w:rsid w:val="009B4293"/>
    <w:rsid w:val="009B6715"/>
    <w:rsid w:val="009C7B74"/>
    <w:rsid w:val="009D0BE2"/>
    <w:rsid w:val="009D114E"/>
    <w:rsid w:val="009D210F"/>
    <w:rsid w:val="009D309C"/>
    <w:rsid w:val="009D37B1"/>
    <w:rsid w:val="009D4717"/>
    <w:rsid w:val="009D5384"/>
    <w:rsid w:val="009D694D"/>
    <w:rsid w:val="009E264E"/>
    <w:rsid w:val="009E77FC"/>
    <w:rsid w:val="009F0C98"/>
    <w:rsid w:val="009F0F81"/>
    <w:rsid w:val="009F2543"/>
    <w:rsid w:val="009F256D"/>
    <w:rsid w:val="009F341E"/>
    <w:rsid w:val="009F57CE"/>
    <w:rsid w:val="009F6810"/>
    <w:rsid w:val="00A117CA"/>
    <w:rsid w:val="00A12225"/>
    <w:rsid w:val="00A14C18"/>
    <w:rsid w:val="00A25898"/>
    <w:rsid w:val="00A306C3"/>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55B0"/>
    <w:rsid w:val="00A56EC1"/>
    <w:rsid w:val="00A633A3"/>
    <w:rsid w:val="00A6350C"/>
    <w:rsid w:val="00A6370B"/>
    <w:rsid w:val="00A63A73"/>
    <w:rsid w:val="00A6655C"/>
    <w:rsid w:val="00A66CBB"/>
    <w:rsid w:val="00A6704E"/>
    <w:rsid w:val="00A67EA4"/>
    <w:rsid w:val="00A773FF"/>
    <w:rsid w:val="00A83AA1"/>
    <w:rsid w:val="00A86C06"/>
    <w:rsid w:val="00A9343A"/>
    <w:rsid w:val="00A9706C"/>
    <w:rsid w:val="00A97B34"/>
    <w:rsid w:val="00AA09EA"/>
    <w:rsid w:val="00AA1B5C"/>
    <w:rsid w:val="00AA3823"/>
    <w:rsid w:val="00AA41F7"/>
    <w:rsid w:val="00AA7A27"/>
    <w:rsid w:val="00AB3FB0"/>
    <w:rsid w:val="00AB465D"/>
    <w:rsid w:val="00AB713D"/>
    <w:rsid w:val="00AC114C"/>
    <w:rsid w:val="00AC1478"/>
    <w:rsid w:val="00AC6C2D"/>
    <w:rsid w:val="00AC6E17"/>
    <w:rsid w:val="00AD2FF3"/>
    <w:rsid w:val="00AD7218"/>
    <w:rsid w:val="00AD73CB"/>
    <w:rsid w:val="00AD7764"/>
    <w:rsid w:val="00AD7FE2"/>
    <w:rsid w:val="00AE1284"/>
    <w:rsid w:val="00AE1B18"/>
    <w:rsid w:val="00AE7339"/>
    <w:rsid w:val="00AF1B0B"/>
    <w:rsid w:val="00AF242C"/>
    <w:rsid w:val="00AF3CC4"/>
    <w:rsid w:val="00AF5F67"/>
    <w:rsid w:val="00B05903"/>
    <w:rsid w:val="00B12C7A"/>
    <w:rsid w:val="00B12E10"/>
    <w:rsid w:val="00B21F60"/>
    <w:rsid w:val="00B22BC3"/>
    <w:rsid w:val="00B25865"/>
    <w:rsid w:val="00B272B6"/>
    <w:rsid w:val="00B2771B"/>
    <w:rsid w:val="00B279D4"/>
    <w:rsid w:val="00B30DC0"/>
    <w:rsid w:val="00B336E9"/>
    <w:rsid w:val="00B33AE5"/>
    <w:rsid w:val="00B35BE5"/>
    <w:rsid w:val="00B37449"/>
    <w:rsid w:val="00B375E0"/>
    <w:rsid w:val="00B4057C"/>
    <w:rsid w:val="00B4088A"/>
    <w:rsid w:val="00B46965"/>
    <w:rsid w:val="00B54C18"/>
    <w:rsid w:val="00B54ED0"/>
    <w:rsid w:val="00B55D47"/>
    <w:rsid w:val="00B60D64"/>
    <w:rsid w:val="00B6204E"/>
    <w:rsid w:val="00B649EC"/>
    <w:rsid w:val="00B70D08"/>
    <w:rsid w:val="00B728DD"/>
    <w:rsid w:val="00B72D43"/>
    <w:rsid w:val="00B74121"/>
    <w:rsid w:val="00B859FF"/>
    <w:rsid w:val="00B85C1B"/>
    <w:rsid w:val="00B85FF0"/>
    <w:rsid w:val="00B86150"/>
    <w:rsid w:val="00B878F9"/>
    <w:rsid w:val="00B9044A"/>
    <w:rsid w:val="00B960F3"/>
    <w:rsid w:val="00B96A31"/>
    <w:rsid w:val="00B96C70"/>
    <w:rsid w:val="00BA05E6"/>
    <w:rsid w:val="00BA51B0"/>
    <w:rsid w:val="00BA6319"/>
    <w:rsid w:val="00BB0F31"/>
    <w:rsid w:val="00BC03B0"/>
    <w:rsid w:val="00BC06A3"/>
    <w:rsid w:val="00BC0CEA"/>
    <w:rsid w:val="00BC2220"/>
    <w:rsid w:val="00BC26B9"/>
    <w:rsid w:val="00BC26FA"/>
    <w:rsid w:val="00BC4E01"/>
    <w:rsid w:val="00BC73F6"/>
    <w:rsid w:val="00BD1177"/>
    <w:rsid w:val="00BD1374"/>
    <w:rsid w:val="00BD2884"/>
    <w:rsid w:val="00BD30B5"/>
    <w:rsid w:val="00BD3531"/>
    <w:rsid w:val="00BD4E35"/>
    <w:rsid w:val="00BD791B"/>
    <w:rsid w:val="00BE34CA"/>
    <w:rsid w:val="00BE7312"/>
    <w:rsid w:val="00BF116A"/>
    <w:rsid w:val="00BF6E77"/>
    <w:rsid w:val="00C014C3"/>
    <w:rsid w:val="00C05118"/>
    <w:rsid w:val="00C0623C"/>
    <w:rsid w:val="00C06A07"/>
    <w:rsid w:val="00C1253A"/>
    <w:rsid w:val="00C132B6"/>
    <w:rsid w:val="00C21A6C"/>
    <w:rsid w:val="00C22EB0"/>
    <w:rsid w:val="00C24A10"/>
    <w:rsid w:val="00C27003"/>
    <w:rsid w:val="00C27597"/>
    <w:rsid w:val="00C2772B"/>
    <w:rsid w:val="00C32BD4"/>
    <w:rsid w:val="00C33E48"/>
    <w:rsid w:val="00C3618B"/>
    <w:rsid w:val="00C403FB"/>
    <w:rsid w:val="00C4316E"/>
    <w:rsid w:val="00C441A2"/>
    <w:rsid w:val="00C4662C"/>
    <w:rsid w:val="00C5076B"/>
    <w:rsid w:val="00C512D4"/>
    <w:rsid w:val="00C51CF4"/>
    <w:rsid w:val="00C531E2"/>
    <w:rsid w:val="00C53204"/>
    <w:rsid w:val="00C55637"/>
    <w:rsid w:val="00C57E34"/>
    <w:rsid w:val="00C61BA1"/>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498"/>
    <w:rsid w:val="00C97B4D"/>
    <w:rsid w:val="00CA1E5E"/>
    <w:rsid w:val="00CA1FA9"/>
    <w:rsid w:val="00CA5602"/>
    <w:rsid w:val="00CA5CA9"/>
    <w:rsid w:val="00CA69AD"/>
    <w:rsid w:val="00CA78E2"/>
    <w:rsid w:val="00CB1BBE"/>
    <w:rsid w:val="00CB65DB"/>
    <w:rsid w:val="00CB6BD9"/>
    <w:rsid w:val="00CC0992"/>
    <w:rsid w:val="00CC0E85"/>
    <w:rsid w:val="00CC293A"/>
    <w:rsid w:val="00CE19F6"/>
    <w:rsid w:val="00CE6B76"/>
    <w:rsid w:val="00CF366B"/>
    <w:rsid w:val="00CF5D9D"/>
    <w:rsid w:val="00CF606C"/>
    <w:rsid w:val="00CF7423"/>
    <w:rsid w:val="00D001F5"/>
    <w:rsid w:val="00D03E80"/>
    <w:rsid w:val="00D10524"/>
    <w:rsid w:val="00D108F7"/>
    <w:rsid w:val="00D1505F"/>
    <w:rsid w:val="00D15B9F"/>
    <w:rsid w:val="00D15DD6"/>
    <w:rsid w:val="00D2539E"/>
    <w:rsid w:val="00D25548"/>
    <w:rsid w:val="00D25C10"/>
    <w:rsid w:val="00D2601F"/>
    <w:rsid w:val="00D27759"/>
    <w:rsid w:val="00D30028"/>
    <w:rsid w:val="00D325D3"/>
    <w:rsid w:val="00D408D6"/>
    <w:rsid w:val="00D40D1D"/>
    <w:rsid w:val="00D50D88"/>
    <w:rsid w:val="00D511DD"/>
    <w:rsid w:val="00D55C2A"/>
    <w:rsid w:val="00D571C1"/>
    <w:rsid w:val="00D602F4"/>
    <w:rsid w:val="00D6457E"/>
    <w:rsid w:val="00D70015"/>
    <w:rsid w:val="00D736CB"/>
    <w:rsid w:val="00D742E2"/>
    <w:rsid w:val="00D7580E"/>
    <w:rsid w:val="00D85CBD"/>
    <w:rsid w:val="00D87DAF"/>
    <w:rsid w:val="00D9446D"/>
    <w:rsid w:val="00DA2994"/>
    <w:rsid w:val="00DB08E8"/>
    <w:rsid w:val="00DB0DED"/>
    <w:rsid w:val="00DB2FF9"/>
    <w:rsid w:val="00DB3073"/>
    <w:rsid w:val="00DB3BA9"/>
    <w:rsid w:val="00DB50FE"/>
    <w:rsid w:val="00DB5EDA"/>
    <w:rsid w:val="00DB748A"/>
    <w:rsid w:val="00DC13DD"/>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A20"/>
    <w:rsid w:val="00E00D49"/>
    <w:rsid w:val="00E019A8"/>
    <w:rsid w:val="00E03A46"/>
    <w:rsid w:val="00E03C6D"/>
    <w:rsid w:val="00E0476F"/>
    <w:rsid w:val="00E04899"/>
    <w:rsid w:val="00E054E5"/>
    <w:rsid w:val="00E0796F"/>
    <w:rsid w:val="00E10948"/>
    <w:rsid w:val="00E24371"/>
    <w:rsid w:val="00E243AB"/>
    <w:rsid w:val="00E26641"/>
    <w:rsid w:val="00E2778F"/>
    <w:rsid w:val="00E33023"/>
    <w:rsid w:val="00E331F3"/>
    <w:rsid w:val="00E3498D"/>
    <w:rsid w:val="00E42425"/>
    <w:rsid w:val="00E43BCE"/>
    <w:rsid w:val="00E43E55"/>
    <w:rsid w:val="00E4554E"/>
    <w:rsid w:val="00E46089"/>
    <w:rsid w:val="00E46D22"/>
    <w:rsid w:val="00E4768F"/>
    <w:rsid w:val="00E47A32"/>
    <w:rsid w:val="00E51680"/>
    <w:rsid w:val="00E53C0E"/>
    <w:rsid w:val="00E54F7E"/>
    <w:rsid w:val="00E560CE"/>
    <w:rsid w:val="00E5674E"/>
    <w:rsid w:val="00E63783"/>
    <w:rsid w:val="00E645E7"/>
    <w:rsid w:val="00E650E2"/>
    <w:rsid w:val="00E66207"/>
    <w:rsid w:val="00E70974"/>
    <w:rsid w:val="00E70DB1"/>
    <w:rsid w:val="00E75CAD"/>
    <w:rsid w:val="00E76922"/>
    <w:rsid w:val="00E81A42"/>
    <w:rsid w:val="00E8595B"/>
    <w:rsid w:val="00E915EC"/>
    <w:rsid w:val="00E96613"/>
    <w:rsid w:val="00EA11B1"/>
    <w:rsid w:val="00EA2224"/>
    <w:rsid w:val="00EA7194"/>
    <w:rsid w:val="00EB1329"/>
    <w:rsid w:val="00EB2987"/>
    <w:rsid w:val="00EB2D75"/>
    <w:rsid w:val="00EB34BE"/>
    <w:rsid w:val="00EB571A"/>
    <w:rsid w:val="00EC2804"/>
    <w:rsid w:val="00EC280F"/>
    <w:rsid w:val="00EC6117"/>
    <w:rsid w:val="00EC6138"/>
    <w:rsid w:val="00ED1DCF"/>
    <w:rsid w:val="00ED43C9"/>
    <w:rsid w:val="00ED5899"/>
    <w:rsid w:val="00EE085F"/>
    <w:rsid w:val="00EE2C60"/>
    <w:rsid w:val="00EE2E58"/>
    <w:rsid w:val="00EE487A"/>
    <w:rsid w:val="00EE734C"/>
    <w:rsid w:val="00EF5267"/>
    <w:rsid w:val="00EF6907"/>
    <w:rsid w:val="00EF6D91"/>
    <w:rsid w:val="00F01F54"/>
    <w:rsid w:val="00F04D4D"/>
    <w:rsid w:val="00F06014"/>
    <w:rsid w:val="00F11DD8"/>
    <w:rsid w:val="00F12745"/>
    <w:rsid w:val="00F13766"/>
    <w:rsid w:val="00F20A77"/>
    <w:rsid w:val="00F22C60"/>
    <w:rsid w:val="00F231A4"/>
    <w:rsid w:val="00F23252"/>
    <w:rsid w:val="00F24B5B"/>
    <w:rsid w:val="00F27B2A"/>
    <w:rsid w:val="00F31762"/>
    <w:rsid w:val="00F323B0"/>
    <w:rsid w:val="00F33BB2"/>
    <w:rsid w:val="00F345D3"/>
    <w:rsid w:val="00F356ED"/>
    <w:rsid w:val="00F359B5"/>
    <w:rsid w:val="00F4144F"/>
    <w:rsid w:val="00F433F3"/>
    <w:rsid w:val="00F47F64"/>
    <w:rsid w:val="00F50829"/>
    <w:rsid w:val="00F522D9"/>
    <w:rsid w:val="00F52F54"/>
    <w:rsid w:val="00F53584"/>
    <w:rsid w:val="00F55922"/>
    <w:rsid w:val="00F61B24"/>
    <w:rsid w:val="00F62DE5"/>
    <w:rsid w:val="00F63F8A"/>
    <w:rsid w:val="00F64D58"/>
    <w:rsid w:val="00F6514E"/>
    <w:rsid w:val="00F703DC"/>
    <w:rsid w:val="00F71D06"/>
    <w:rsid w:val="00F737A3"/>
    <w:rsid w:val="00F73B46"/>
    <w:rsid w:val="00F73D01"/>
    <w:rsid w:val="00F7642B"/>
    <w:rsid w:val="00F76A43"/>
    <w:rsid w:val="00F80334"/>
    <w:rsid w:val="00F8139D"/>
    <w:rsid w:val="00F83DF9"/>
    <w:rsid w:val="00F85DA0"/>
    <w:rsid w:val="00F90295"/>
    <w:rsid w:val="00F930AF"/>
    <w:rsid w:val="00F9352C"/>
    <w:rsid w:val="00F975B0"/>
    <w:rsid w:val="00FA15F1"/>
    <w:rsid w:val="00FA19F5"/>
    <w:rsid w:val="00FA338F"/>
    <w:rsid w:val="00FA4A69"/>
    <w:rsid w:val="00FA58AA"/>
    <w:rsid w:val="00FA649A"/>
    <w:rsid w:val="00FB1248"/>
    <w:rsid w:val="00FB208D"/>
    <w:rsid w:val="00FB3A4F"/>
    <w:rsid w:val="00FB3CF4"/>
    <w:rsid w:val="00FB4A27"/>
    <w:rsid w:val="00FB4A49"/>
    <w:rsid w:val="00FB69B3"/>
    <w:rsid w:val="00FC03B6"/>
    <w:rsid w:val="00FC43E8"/>
    <w:rsid w:val="00FC6FBE"/>
    <w:rsid w:val="00FD1162"/>
    <w:rsid w:val="00FD2232"/>
    <w:rsid w:val="00FD4AE7"/>
    <w:rsid w:val="00FD5ADD"/>
    <w:rsid w:val="00FD65A9"/>
    <w:rsid w:val="00FD7508"/>
    <w:rsid w:val="00FE1E51"/>
    <w:rsid w:val="00FE2022"/>
    <w:rsid w:val="00FE2496"/>
    <w:rsid w:val="00FE6A2B"/>
    <w:rsid w:val="00FF0275"/>
    <w:rsid w:val="00FF07B3"/>
    <w:rsid w:val="00FF1E37"/>
    <w:rsid w:val="00FF3C15"/>
    <w:rsid w:val="066D73E9"/>
    <w:rsid w:val="086F75C9"/>
    <w:rsid w:val="096636F3"/>
    <w:rsid w:val="12E0359D"/>
    <w:rsid w:val="1AEC0734"/>
    <w:rsid w:val="1FE81CE3"/>
    <w:rsid w:val="24D2556E"/>
    <w:rsid w:val="26391AD5"/>
    <w:rsid w:val="2EFFE297"/>
    <w:rsid w:val="33482D6D"/>
    <w:rsid w:val="3ABB2076"/>
    <w:rsid w:val="3ED74FA5"/>
    <w:rsid w:val="42AB0C22"/>
    <w:rsid w:val="4645313C"/>
    <w:rsid w:val="4BF72BEF"/>
    <w:rsid w:val="513F7105"/>
    <w:rsid w:val="58D36385"/>
    <w:rsid w:val="5C970093"/>
    <w:rsid w:val="637F4CE2"/>
    <w:rsid w:val="64F23AF8"/>
    <w:rsid w:val="69690D6B"/>
    <w:rsid w:val="6D635AD2"/>
    <w:rsid w:val="70473489"/>
    <w:rsid w:val="727D7636"/>
    <w:rsid w:val="73832A2A"/>
    <w:rsid w:val="773441F8"/>
    <w:rsid w:val="78C87131"/>
    <w:rsid w:val="79FA156C"/>
    <w:rsid w:val="7A7F1C49"/>
    <w:rsid w:val="7B5B7AE6"/>
    <w:rsid w:val="7BA7071E"/>
    <w:rsid w:val="7BDF6DA8"/>
    <w:rsid w:val="7C7EDC1A"/>
    <w:rsid w:val="7D08410F"/>
    <w:rsid w:val="7DB96DED"/>
    <w:rsid w:val="7F7FE70F"/>
    <w:rsid w:val="7FFF772F"/>
    <w:rsid w:val="95F35EF6"/>
    <w:rsid w:val="9BFFD860"/>
    <w:rsid w:val="AC5F73DE"/>
    <w:rsid w:val="B5DDD2C8"/>
    <w:rsid w:val="B9DFABD9"/>
    <w:rsid w:val="BC0D83FC"/>
    <w:rsid w:val="BDEF24AE"/>
    <w:rsid w:val="BE5E8BE6"/>
    <w:rsid w:val="BF3BDEFB"/>
    <w:rsid w:val="C67FFC33"/>
    <w:rsid w:val="C7F7ED2D"/>
    <w:rsid w:val="D8D7928E"/>
    <w:rsid w:val="D8FE3136"/>
    <w:rsid w:val="DDDE60B7"/>
    <w:rsid w:val="DF4FCE6A"/>
    <w:rsid w:val="E863BC1B"/>
    <w:rsid w:val="EDAA365C"/>
    <w:rsid w:val="EDADFC12"/>
    <w:rsid w:val="F63E0EE6"/>
    <w:rsid w:val="F7F709E9"/>
    <w:rsid w:val="F7FF3690"/>
    <w:rsid w:val="F9BD3900"/>
    <w:rsid w:val="FAAC51FA"/>
    <w:rsid w:val="FC8B9876"/>
    <w:rsid w:val="FEDFFFFF"/>
    <w:rsid w:val="FFF64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99"/>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qFormat/>
    <w:uiPriority w:val="99"/>
    <w:rPr>
      <w:rFonts w:eastAsia="宋体"/>
      <w:kern w:val="2"/>
      <w:sz w:val="18"/>
      <w:szCs w:val="18"/>
      <w:lang w:val="en-US" w:eastAsia="zh-CN" w:bidi="ar-SA"/>
    </w:rPr>
  </w:style>
  <w:style w:type="character" w:customStyle="1" w:styleId="15">
    <w:name w:val="页眉 Char"/>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 w:type="character" w:customStyle="1" w:styleId="20">
    <w:name w:val="页脚 字符"/>
    <w:basedOn w:val="11"/>
    <w:link w:val="7"/>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2" Type="http://schemas.openxmlformats.org/officeDocument/2006/relationships/themeOverride" Target="../theme/themeOverride2.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0144927536232"/>
          <c:y val="0.348837209302326"/>
          <c:w val="0.202898550724638"/>
          <c:h val="0.325581395348837"/>
        </c:manualLayout>
      </c:layout>
      <c:pieChart>
        <c:varyColors val="1"/>
        <c:ser>
          <c:idx val="0"/>
          <c:order val="0"/>
          <c:tx>
            <c:strRef>
              <c:f>Sheet1!$A$2</c:f>
              <c:strCache>
                <c:ptCount val="1"/>
                <c:pt idx="0">
                  <c:v/>
                </c:pt>
              </c:strCache>
            </c:strRef>
          </c:tx>
          <c:spPr>
            <a:solidFill>
              <a:srgbClr val="9999FF"/>
            </a:solidFill>
            <a:ln w="25848">
              <a:solidFill>
                <a:srgbClr val="000000"/>
              </a:solidFill>
              <a:prstDash val="solid"/>
            </a:ln>
          </c:spPr>
          <c:explosion val="0"/>
          <c:dPt>
            <c:idx val="0"/>
            <c:bubble3D val="0"/>
            <c:spPr>
              <a:solidFill>
                <a:srgbClr val="9999FF"/>
              </a:solidFill>
              <a:ln w="25848">
                <a:solidFill>
                  <a:srgbClr val="000000"/>
                </a:solidFill>
                <a:prstDash val="solid"/>
              </a:ln>
            </c:spPr>
          </c:dPt>
          <c:dPt>
            <c:idx val="1"/>
            <c:bubble3D val="0"/>
            <c:spPr>
              <a:solidFill>
                <a:srgbClr val="993366"/>
              </a:solidFill>
              <a:ln w="25848">
                <a:solidFill>
                  <a:srgbClr val="000000"/>
                </a:solidFill>
                <a:prstDash val="solid"/>
              </a:ln>
            </c:spPr>
          </c:dPt>
          <c:dPt>
            <c:idx val="2"/>
            <c:bubble3D val="0"/>
            <c:spPr>
              <a:solidFill>
                <a:srgbClr val="FFFFCC"/>
              </a:solidFill>
              <a:ln w="25848">
                <a:solidFill>
                  <a:srgbClr val="000000"/>
                </a:solidFill>
                <a:prstDash val="solid"/>
              </a:ln>
            </c:spPr>
          </c:dPt>
          <c:dPt>
            <c:idx val="3"/>
            <c:bubble3D val="0"/>
            <c:spPr>
              <a:solidFill>
                <a:srgbClr val="CCFFFF"/>
              </a:solidFill>
              <a:ln w="25848">
                <a:solidFill>
                  <a:srgbClr val="000000"/>
                </a:solidFill>
                <a:prstDash val="solid"/>
              </a:ln>
            </c:spPr>
          </c:dPt>
          <c:dPt>
            <c:idx val="4"/>
            <c:bubble3D val="0"/>
            <c:spPr>
              <a:solidFill>
                <a:srgbClr val="660066"/>
              </a:solidFill>
              <a:ln w="25848">
                <a:solidFill>
                  <a:srgbClr val="000000"/>
                </a:solidFill>
                <a:prstDash val="solid"/>
              </a:ln>
            </c:spPr>
          </c:dPt>
          <c:dLbls>
            <c:numFmt formatCode="0%" sourceLinked="0"/>
            <c:spPr>
              <a:noFill/>
              <a:ln w="51696">
                <a:noFill/>
              </a:ln>
              <a:effectLst/>
            </c:spPr>
            <c:txPr>
              <a:bodyPr rot="0" spcFirstLastPara="0" vertOverflow="ellipsis" vert="horz" wrap="square" lIns="38100" tIns="19050" rIns="38100" bIns="19050" anchor="ctr" anchorCtr="1">
                <a:spAutoFit/>
              </a:bodyPr>
              <a:lstStyle/>
              <a:p>
                <a:pPr>
                  <a:defRPr lang="zh-CN" sz="865"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Sheet1!$B$1:$F$1</c:f>
              <c:strCache>
                <c:ptCount val="5"/>
                <c:pt idx="0">
                  <c:v>财政拨款收入</c:v>
                </c:pt>
                <c:pt idx="1">
                  <c:v>事业收入</c:v>
                </c:pt>
                <c:pt idx="2">
                  <c:v>经营收入</c:v>
                </c:pt>
                <c:pt idx="3">
                  <c:v>附属单位上缴收入</c:v>
                </c:pt>
                <c:pt idx="4">
                  <c:v>其他收入</c:v>
                </c:pt>
              </c:strCache>
            </c:strRef>
          </c:cat>
          <c:val>
            <c:numRef>
              <c:f>Sheet1!$B$2:$F$2</c:f>
              <c:numCache>
                <c:formatCode>g/"通""用""格""式"</c:formatCode>
                <c:ptCount val="5"/>
                <c:pt idx="0">
                  <c:v>31341.87</c:v>
                </c:pt>
                <c:pt idx="1">
                  <c:v>34699.6</c:v>
                </c:pt>
                <c:pt idx="2">
                  <c:v>160.51</c:v>
                </c:pt>
                <c:pt idx="3">
                  <c:v>117.44</c:v>
                </c:pt>
                <c:pt idx="4">
                  <c:v>487.35</c:v>
                </c:pt>
              </c:numCache>
            </c:numRef>
          </c:val>
        </c:ser>
        <c:dLbls>
          <c:showLegendKey val="0"/>
          <c:showVal val="0"/>
          <c:showCatName val="0"/>
          <c:showSerName val="0"/>
          <c:showPercent val="0"/>
          <c:showBubbleSize val="0"/>
          <c:showLeaderLines val="1"/>
        </c:dLbls>
        <c:firstSliceAng val="0"/>
      </c:pieChart>
      <c:spPr>
        <a:solidFill>
          <a:srgbClr val="C0C0C0"/>
        </a:solidFill>
        <a:ln w="25848">
          <a:solidFill>
            <a:srgbClr val="808080"/>
          </a:solidFill>
          <a:prstDash val="solid"/>
        </a:ln>
      </c:spPr>
    </c:plotArea>
    <c:legend>
      <c:legendPos val="r"/>
      <c:layout/>
      <c:overlay val="0"/>
      <c:spPr>
        <a:noFill/>
        <a:ln w="6462">
          <a:solidFill>
            <a:srgbClr val="000000"/>
          </a:solidFill>
          <a:prstDash val="solid"/>
        </a:ln>
      </c:spPr>
      <c:txPr>
        <a:bodyPr rot="0" spcFirstLastPara="0" vertOverflow="ellipsis" vert="horz" wrap="square" anchor="ctr" anchorCtr="1"/>
        <a:lstStyle/>
        <a:p>
          <a:pPr>
            <a:defRPr lang="zh-CN" sz="795"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1"/>
    <c:dispBlanksAs val="zero"/>
    <c:showDLblsOverMax val="0"/>
  </c:chart>
  <c:spPr>
    <a:noFill/>
    <a:ln w="9525" cap="flat" cmpd="sng" algn="ctr">
      <a:noFill/>
      <a:prstDash val="solid"/>
      <a:round/>
    </a:ln>
  </c:spPr>
  <c:txPr>
    <a:bodyPr/>
    <a:lstStyle/>
    <a:p>
      <a:pPr>
        <a:defRPr lang="zh-CN" sz="865"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Sheet1!$B$1</c:f>
              <c:strCache>
                <c:ptCount val="1"/>
                <c:pt idx="0">
                  <c:v>销售额</c:v>
                </c:pt>
              </c:strCache>
            </c:strRef>
          </c:tx>
          <c:spPr>
            <a:scene3d>
              <a:camera prst="orthographicFront"/>
              <a:lightRig rig="threePt" dir="t"/>
            </a:scene3d>
            <a:sp3d>
              <a:bevelT/>
              <a:contourClr>
                <a:srgbClr val="000000"/>
              </a:contourClr>
            </a:sp3d>
          </c:spPr>
          <c:explosion val="0"/>
          <c:dPt>
            <c:idx val="0"/>
            <c:bubble3D val="0"/>
            <c:spPr>
              <a:solidFill>
                <a:schemeClr val="accent1"/>
              </a:solidFill>
              <a:ln w="9527" cap="flat" cmpd="sng" algn="ctr">
                <a:solidFill>
                  <a:schemeClr val="accent1">
                    <a:shade val="50000"/>
                    <a:shade val="95000"/>
                    <a:satMod val="105000"/>
                  </a:schemeClr>
                </a:solidFill>
                <a:prstDash val="solid"/>
                <a:round/>
              </a:ln>
              <a:effectLst/>
              <a:scene3d>
                <a:camera prst="orthographicFront"/>
                <a:lightRig rig="threePt" dir="t"/>
              </a:scene3d>
              <a:sp3d contourW="9525">
                <a:bevelT/>
                <a:contourClr>
                  <a:schemeClr val="accent1">
                    <a:shade val="50000"/>
                    <a:shade val="95000"/>
                    <a:satMod val="105000"/>
                  </a:schemeClr>
                </a:contourClr>
              </a:sp3d>
            </c:spPr>
          </c:dPt>
          <c:dPt>
            <c:idx val="1"/>
            <c:bubble3D val="0"/>
            <c:spPr>
              <a:solidFill>
                <a:schemeClr val="accent2">
                  <a:lumMod val="75000"/>
                </a:schemeClr>
              </a:solidFill>
              <a:ln w="9527" cap="flat" cmpd="sng" algn="ctr">
                <a:solidFill>
                  <a:schemeClr val="accent1">
                    <a:shade val="50000"/>
                    <a:shade val="95000"/>
                    <a:satMod val="105000"/>
                  </a:schemeClr>
                </a:solidFill>
                <a:prstDash val="solid"/>
                <a:round/>
              </a:ln>
              <a:effectLst/>
              <a:scene3d>
                <a:camera prst="orthographicFront"/>
                <a:lightRig rig="threePt" dir="t"/>
              </a:scene3d>
              <a:sp3d contourW="9525">
                <a:bevelT/>
                <a:contourClr>
                  <a:schemeClr val="accent1">
                    <a:shade val="50000"/>
                    <a:shade val="95000"/>
                    <a:satMod val="105000"/>
                  </a:schemeClr>
                </a:contourClr>
              </a:sp3d>
            </c:spPr>
          </c:dPt>
          <c:dPt>
            <c:idx val="2"/>
            <c:bubble3D val="0"/>
            <c:spPr>
              <a:solidFill>
                <a:schemeClr val="accent6"/>
              </a:solidFill>
              <a:ln w="9527" cap="flat" cmpd="sng" algn="ctr">
                <a:solidFill>
                  <a:schemeClr val="accent1">
                    <a:shade val="50000"/>
                    <a:shade val="95000"/>
                    <a:satMod val="105000"/>
                  </a:schemeClr>
                </a:solidFill>
                <a:prstDash val="solid"/>
                <a:round/>
              </a:ln>
              <a:effectLst/>
              <a:scene3d>
                <a:camera prst="orthographicFront"/>
                <a:lightRig rig="threePt" dir="t"/>
              </a:scene3d>
              <a:sp3d contourW="9525">
                <a:bevelT/>
                <a:contourClr>
                  <a:schemeClr val="accent1">
                    <a:shade val="50000"/>
                    <a:shade val="95000"/>
                    <a:satMod val="105000"/>
                  </a:schemeClr>
                </a:contourClr>
              </a:sp3d>
            </c:spPr>
          </c:dPt>
          <c:dPt>
            <c:idx val="3"/>
            <c:bubble3D val="0"/>
            <c:spPr>
              <a:scene3d>
                <a:camera prst="orthographicFront"/>
                <a:lightRig rig="threePt" dir="t"/>
              </a:scene3d>
              <a:sp3d>
                <a:bevelT/>
                <a:contourClr>
                  <a:srgbClr val="000000"/>
                </a:contourClr>
              </a:sp3d>
            </c:spPr>
          </c:dPt>
          <c:dPt>
            <c:idx val="4"/>
            <c:bubble3D val="0"/>
            <c:spPr>
              <a:scene3d>
                <a:camera prst="orthographicFront"/>
                <a:lightRig rig="threePt" dir="t"/>
              </a:scene3d>
              <a:sp3d>
                <a:bevelT/>
                <a:contourClr>
                  <a:srgbClr val="000000"/>
                </a:contourClr>
              </a:sp3d>
            </c:spPr>
          </c:dPt>
          <c:dLbls>
            <c:dLbl>
              <c:idx val="2"/>
              <c:layout>
                <c:manualLayout>
                  <c:x val="0.0128172265441485"/>
                  <c:y val="-0.0073930859614630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3"/>
              <c:layout>
                <c:manualLayout>
                  <c:x val="-0.123570572773456"/>
                  <c:y val="-0.00705152029246239"/>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17948327038143"/>
                  <c:y val="0.01101797569420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Sheet1!$A$2:$A$6</c:f>
              <c:strCache>
                <c:ptCount val="5"/>
                <c:pt idx="0">
                  <c:v>财政拨款收入</c:v>
                </c:pt>
                <c:pt idx="1">
                  <c:v>事业收入</c:v>
                </c:pt>
                <c:pt idx="2">
                  <c:v>经营收入</c:v>
                </c:pt>
                <c:pt idx="3">
                  <c:v>附属单位上缴收入</c:v>
                </c:pt>
                <c:pt idx="4">
                  <c:v>其他收入</c:v>
                </c:pt>
              </c:strCache>
            </c:strRef>
          </c:cat>
          <c:val>
            <c:numRef>
              <c:f>Sheet1!$B$2:$B$6</c:f>
              <c:numCache>
                <c:formatCode>#,##0.00</c:formatCode>
                <c:ptCount val="5"/>
                <c:pt idx="0">
                  <c:v>31341.87</c:v>
                </c:pt>
                <c:pt idx="1">
                  <c:v>34699.6</c:v>
                </c:pt>
                <c:pt idx="2">
                  <c:v>160.51</c:v>
                </c:pt>
                <c:pt idx="3">
                  <c:v>117.44</c:v>
                </c:pt>
                <c:pt idx="4">
                  <c:v>487.35</c:v>
                </c:pt>
              </c:numCache>
            </c:numRef>
          </c:val>
        </c:ser>
        <c:dLbls>
          <c:showLegendKey val="0"/>
          <c:showVal val="0"/>
          <c:showCatName val="0"/>
          <c:showSerName val="0"/>
          <c:showPercent val="1"/>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solidFill>
      <a:schemeClr val="lt1"/>
    </a:solidFill>
    <a:ln w="9527" cap="flat" cmpd="sng" algn="ctr">
      <a:solidFill>
        <a:schemeClr val="dk1">
          <a:tint val="75000"/>
          <a:shade val="95000"/>
          <a:satMod val="10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Sheet1!$B$1</c:f>
              <c:strCache>
                <c:ptCount val="1"/>
                <c:pt idx="0">
                  <c:v>销售额</c:v>
                </c:pt>
              </c:strCache>
            </c:strRef>
          </c:tx>
          <c:spPr>
            <a:scene3d>
              <a:camera prst="orthographicFront"/>
              <a:lightRig rig="threePt" dir="t"/>
            </a:scene3d>
            <a:sp3d>
              <a:bevelT/>
              <a:contourClr>
                <a:srgbClr val="000000"/>
              </a:contourClr>
            </a:sp3d>
          </c:spPr>
          <c:explosion val="0"/>
          <c:dPt>
            <c:idx val="0"/>
            <c:bubble3D val="0"/>
            <c:spPr>
              <a:solidFill>
                <a:schemeClr val="accent1"/>
              </a:solidFill>
              <a:ln w="9527" cap="flat" cmpd="sng" algn="ctr">
                <a:solidFill>
                  <a:schemeClr val="accent1">
                    <a:shade val="50000"/>
                    <a:shade val="95000"/>
                    <a:satMod val="105000"/>
                  </a:schemeClr>
                </a:solidFill>
                <a:prstDash val="solid"/>
                <a:round/>
              </a:ln>
              <a:effectLst/>
              <a:scene3d>
                <a:camera prst="orthographicFront"/>
                <a:lightRig rig="threePt" dir="t"/>
              </a:scene3d>
              <a:sp3d contourW="9525">
                <a:bevelT/>
                <a:contourClr>
                  <a:schemeClr val="accent1">
                    <a:shade val="50000"/>
                    <a:shade val="95000"/>
                    <a:satMod val="105000"/>
                  </a:schemeClr>
                </a:contourClr>
              </a:sp3d>
            </c:spPr>
          </c:dPt>
          <c:dPt>
            <c:idx val="1"/>
            <c:bubble3D val="0"/>
            <c:spPr>
              <a:solidFill>
                <a:schemeClr val="accent2">
                  <a:lumMod val="75000"/>
                </a:schemeClr>
              </a:solidFill>
              <a:ln w="9527" cap="flat" cmpd="sng" algn="ctr">
                <a:solidFill>
                  <a:schemeClr val="accent1">
                    <a:shade val="50000"/>
                    <a:shade val="95000"/>
                    <a:satMod val="105000"/>
                  </a:schemeClr>
                </a:solidFill>
                <a:prstDash val="solid"/>
                <a:round/>
              </a:ln>
              <a:effectLst/>
              <a:scene3d>
                <a:camera prst="orthographicFront"/>
                <a:lightRig rig="threePt" dir="t"/>
              </a:scene3d>
              <a:sp3d contourW="9525">
                <a:bevelT/>
                <a:contourClr>
                  <a:schemeClr val="accent1">
                    <a:shade val="50000"/>
                    <a:shade val="95000"/>
                    <a:satMod val="105000"/>
                  </a:schemeClr>
                </a:contourClr>
              </a:sp3d>
            </c:spPr>
          </c:dPt>
          <c:dPt>
            <c:idx val="2"/>
            <c:bubble3D val="0"/>
            <c:spPr>
              <a:solidFill>
                <a:schemeClr val="accent6"/>
              </a:solidFill>
              <a:ln w="9527" cap="flat" cmpd="sng" algn="ctr">
                <a:solidFill>
                  <a:schemeClr val="accent1">
                    <a:shade val="50000"/>
                    <a:shade val="95000"/>
                    <a:satMod val="105000"/>
                  </a:schemeClr>
                </a:solidFill>
                <a:prstDash val="solid"/>
                <a:round/>
              </a:ln>
              <a:effectLst/>
              <a:scene3d>
                <a:camera prst="orthographicFront"/>
                <a:lightRig rig="threePt" dir="t"/>
              </a:scene3d>
              <a:sp3d contourW="9525">
                <a:bevelT/>
                <a:contourClr>
                  <a:schemeClr val="accent1">
                    <a:shade val="50000"/>
                    <a:shade val="95000"/>
                    <a:satMod val="105000"/>
                  </a:schemeClr>
                </a:contourClr>
              </a:sp3d>
            </c:spPr>
          </c:dPt>
          <c:dLbls>
            <c:dLbl>
              <c:idx val="1"/>
              <c:layout>
                <c:manualLayout>
                  <c:x val="-0.0673833910221377"/>
                  <c:y val="0.028143293312825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513410116794527"/>
                  <c:y val="-0.0255086736606904"/>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Sheet1!$A$2:$A$4</c:f>
              <c:strCache>
                <c:ptCount val="3"/>
                <c:pt idx="0">
                  <c:v>基本支出</c:v>
                </c:pt>
                <c:pt idx="1">
                  <c:v>项目支出</c:v>
                </c:pt>
                <c:pt idx="2">
                  <c:v>经营支出</c:v>
                </c:pt>
              </c:strCache>
            </c:strRef>
          </c:cat>
          <c:val>
            <c:numRef>
              <c:f>Sheet1!$B$2:$B$4</c:f>
              <c:numCache>
                <c:formatCode>#,##0.00</c:formatCode>
                <c:ptCount val="3"/>
                <c:pt idx="0">
                  <c:v>48870.77</c:v>
                </c:pt>
                <c:pt idx="1">
                  <c:v>3572.46</c:v>
                </c:pt>
                <c:pt idx="2">
                  <c:v>160.51</c:v>
                </c:pt>
              </c:numCache>
            </c:numRef>
          </c:val>
        </c:ser>
        <c:dLbls>
          <c:showLegendKey val="0"/>
          <c:showVal val="0"/>
          <c:showCatName val="0"/>
          <c:showSerName val="0"/>
          <c:showPercent val="1"/>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solidFill>
      <a:schemeClr val="lt1"/>
    </a:solidFill>
    <a:ln w="9527" cap="flat" cmpd="sng" algn="ctr">
      <a:solidFill>
        <a:schemeClr val="dk1">
          <a:tint val="75000"/>
          <a:shade val="95000"/>
          <a:satMod val="10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Pages>14</Pages>
  <Words>3742</Words>
  <Characters>4270</Characters>
  <Lines>30</Lines>
  <Paragraphs>8</Paragraphs>
  <TotalTime>0</TotalTime>
  <ScaleCrop>false</ScaleCrop>
  <LinksUpToDate>false</LinksUpToDate>
  <CharactersWithSpaces>4289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2023-06-06T04:33:00Z</dcterms:created>
  <dc:creator>常程</dc:creator>
  <cp:lastModifiedBy>晓爽</cp:lastModifiedBy>
  <cp:lastPrinted>2023-06-06T08:38:00Z</cp:lastPrinted>
  <dcterms:modified xsi:type="dcterms:W3CDTF">2023-09-08T09:28:35Z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D76A281268344CBC927A3B51383879BA_13</vt:lpwstr>
  </property>
</Properties>
</file>