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5000" w:type="pct"/>
        <w:tblInd w:w="0" w:type="dxa"/>
        <w:tblLayout w:type="autofit"/>
        <w:tblCellMar>
          <w:top w:w="0" w:type="dxa"/>
          <w:left w:w="108" w:type="dxa"/>
          <w:bottom w:w="0" w:type="dxa"/>
          <w:right w:w="108" w:type="dxa"/>
        </w:tblCellMar>
      </w:tblPr>
      <w:tblGrid>
        <w:gridCol w:w="530"/>
        <w:gridCol w:w="771"/>
        <w:gridCol w:w="1865"/>
        <w:gridCol w:w="2602"/>
        <w:gridCol w:w="2568"/>
        <w:gridCol w:w="2619"/>
        <w:gridCol w:w="737"/>
        <w:gridCol w:w="1010"/>
        <w:gridCol w:w="1472"/>
      </w:tblGrid>
      <w:tr>
        <w:tblPrEx>
          <w:tblCellMar>
            <w:top w:w="0" w:type="dxa"/>
            <w:left w:w="108" w:type="dxa"/>
            <w:bottom w:w="0" w:type="dxa"/>
            <w:right w:w="108" w:type="dxa"/>
          </w:tblCellMar>
        </w:tblPrEx>
        <w:trPr>
          <w:trHeight w:val="488" w:hRule="atLeast"/>
        </w:trPr>
        <w:tc>
          <w:tcPr>
            <w:tcW w:w="5000" w:type="pct"/>
            <w:gridSpan w:val="9"/>
            <w:tcBorders>
              <w:top w:val="nil"/>
              <w:left w:val="nil"/>
              <w:bottom w:val="nil"/>
              <w:right w:val="nil"/>
            </w:tcBorders>
            <w:shd w:val="clear" w:color="auto" w:fill="auto"/>
            <w:noWrap/>
            <w:vAlign w:val="center"/>
          </w:tcPr>
          <w:p>
            <w:pPr>
              <w:widowControl/>
              <w:jc w:val="center"/>
              <w:rPr>
                <w:rFonts w:ascii="方正小标宋简体" w:hAnsi="宋体" w:eastAsia="方正小标宋简体" w:cs="宋体"/>
                <w:color w:val="000000"/>
                <w:kern w:val="0"/>
                <w:sz w:val="36"/>
                <w:szCs w:val="36"/>
              </w:rPr>
            </w:pPr>
            <w:bookmarkStart w:id="0" w:name="RANGE!A2:I24"/>
            <w:r>
              <w:rPr>
                <w:rFonts w:hint="eastAsia" w:ascii="方正小标宋简体" w:hAnsi="宋体" w:eastAsia="方正小标宋简体" w:cs="宋体"/>
                <w:color w:val="000000"/>
                <w:kern w:val="0"/>
                <w:sz w:val="36"/>
                <w:szCs w:val="36"/>
              </w:rPr>
              <w:t>项目支出绩效自评表</w:t>
            </w:r>
            <w:bookmarkEnd w:id="0"/>
          </w:p>
        </w:tc>
      </w:tr>
      <w:tr>
        <w:tblPrEx>
          <w:tblCellMar>
            <w:top w:w="0" w:type="dxa"/>
            <w:left w:w="108" w:type="dxa"/>
            <w:bottom w:w="0" w:type="dxa"/>
            <w:right w:w="108" w:type="dxa"/>
          </w:tblCellMar>
        </w:tblPrEx>
        <w:trPr>
          <w:trHeight w:val="475" w:hRule="atLeast"/>
        </w:trPr>
        <w:tc>
          <w:tcPr>
            <w:tcW w:w="5000" w:type="pct"/>
            <w:gridSpan w:val="9"/>
            <w:tcBorders>
              <w:top w:val="nil"/>
              <w:left w:val="nil"/>
              <w:bottom w:val="single" w:color="auto" w:sz="4" w:space="0"/>
              <w:right w:val="nil"/>
            </w:tcBorders>
            <w:shd w:val="clear" w:color="auto" w:fill="auto"/>
            <w:noWrap/>
            <w:vAlign w:val="center"/>
          </w:tcPr>
          <w:p>
            <w:pPr>
              <w:widowControl/>
              <w:jc w:val="center"/>
              <w:rPr>
                <w:rFonts w:ascii="仿宋_GB2312" w:hAnsi="宋体" w:eastAsia="仿宋_GB2312" w:cs="宋体"/>
                <w:color w:val="000000"/>
                <w:kern w:val="0"/>
                <w:sz w:val="28"/>
                <w:szCs w:val="28"/>
              </w:rPr>
            </w:pPr>
            <w:r>
              <w:rPr>
                <w:rFonts w:hint="eastAsia" w:ascii="仿宋_GB2312" w:hAnsi="宋体" w:eastAsia="仿宋_GB2312" w:cs="宋体"/>
                <w:color w:val="000000"/>
                <w:kern w:val="0"/>
                <w:sz w:val="28"/>
                <w:szCs w:val="28"/>
              </w:rPr>
              <w:t>（2022年度）</w:t>
            </w:r>
          </w:p>
        </w:tc>
      </w:tr>
      <w:tr>
        <w:tblPrEx>
          <w:tblCellMar>
            <w:top w:w="0" w:type="dxa"/>
            <w:left w:w="108" w:type="dxa"/>
            <w:bottom w:w="0" w:type="dxa"/>
            <w:right w:w="108" w:type="dxa"/>
          </w:tblCellMar>
        </w:tblPrEx>
        <w:trPr>
          <w:trHeight w:val="20" w:hRule="atLeast"/>
        </w:trPr>
        <w:tc>
          <w:tcPr>
            <w:tcW w:w="459" w:type="pct"/>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项目名称</w:t>
            </w:r>
          </w:p>
        </w:tc>
        <w:tc>
          <w:tcPr>
            <w:tcW w:w="4541" w:type="pct"/>
            <w:gridSpan w:val="7"/>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学生资助-中职国家助学金</w:t>
            </w:r>
          </w:p>
        </w:tc>
      </w:tr>
      <w:tr>
        <w:tblPrEx>
          <w:tblCellMar>
            <w:top w:w="0" w:type="dxa"/>
            <w:left w:w="108" w:type="dxa"/>
            <w:bottom w:w="0" w:type="dxa"/>
            <w:right w:w="108" w:type="dxa"/>
          </w:tblCellMar>
        </w:tblPrEx>
        <w:trPr>
          <w:trHeight w:val="20" w:hRule="atLeast"/>
        </w:trPr>
        <w:tc>
          <w:tcPr>
            <w:tcW w:w="459" w:type="pct"/>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主管部门</w:t>
            </w:r>
          </w:p>
        </w:tc>
        <w:tc>
          <w:tcPr>
            <w:tcW w:w="2482" w:type="pct"/>
            <w:gridSpan w:val="3"/>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北京市教育委员会</w:t>
            </w:r>
          </w:p>
        </w:tc>
        <w:tc>
          <w:tcPr>
            <w:tcW w:w="924"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实施单位</w:t>
            </w:r>
          </w:p>
        </w:tc>
        <w:tc>
          <w:tcPr>
            <w:tcW w:w="1135" w:type="pct"/>
            <w:gridSpan w:val="3"/>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北京工业职业技术学院</w:t>
            </w:r>
          </w:p>
        </w:tc>
      </w:tr>
      <w:tr>
        <w:tblPrEx>
          <w:tblCellMar>
            <w:top w:w="0" w:type="dxa"/>
            <w:left w:w="108" w:type="dxa"/>
            <w:bottom w:w="0" w:type="dxa"/>
            <w:right w:w="108" w:type="dxa"/>
          </w:tblCellMar>
        </w:tblPrEx>
        <w:trPr>
          <w:trHeight w:val="20" w:hRule="atLeast"/>
        </w:trPr>
        <w:tc>
          <w:tcPr>
            <w:tcW w:w="459" w:type="pct"/>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项目负责人</w:t>
            </w:r>
          </w:p>
        </w:tc>
        <w:tc>
          <w:tcPr>
            <w:tcW w:w="2482" w:type="pct"/>
            <w:gridSpan w:val="3"/>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梁文学</w:t>
            </w:r>
          </w:p>
        </w:tc>
        <w:tc>
          <w:tcPr>
            <w:tcW w:w="924"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联系电话</w:t>
            </w:r>
          </w:p>
        </w:tc>
        <w:tc>
          <w:tcPr>
            <w:tcW w:w="1135" w:type="pct"/>
            <w:gridSpan w:val="3"/>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13651179090</w:t>
            </w:r>
          </w:p>
        </w:tc>
      </w:tr>
      <w:tr>
        <w:tblPrEx>
          <w:tblCellMar>
            <w:top w:w="0" w:type="dxa"/>
            <w:left w:w="108" w:type="dxa"/>
            <w:bottom w:w="0" w:type="dxa"/>
            <w:right w:w="108" w:type="dxa"/>
          </w:tblCellMar>
        </w:tblPrEx>
        <w:trPr>
          <w:trHeight w:val="20" w:hRule="atLeast"/>
        </w:trPr>
        <w:tc>
          <w:tcPr>
            <w:tcW w:w="459"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项目资金（万元）</w:t>
            </w:r>
          </w:p>
        </w:tc>
        <w:tc>
          <w:tcPr>
            <w:tcW w:w="658" w:type="pct"/>
            <w:tcBorders>
              <w:top w:val="single" w:color="auto" w:sz="4" w:space="0"/>
              <w:left w:val="nil"/>
              <w:bottom w:val="single" w:color="auto" w:sz="4" w:space="0"/>
              <w:right w:val="nil"/>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　</w:t>
            </w:r>
          </w:p>
        </w:tc>
        <w:tc>
          <w:tcPr>
            <w:tcW w:w="918"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年初预算数</w:t>
            </w:r>
          </w:p>
        </w:tc>
        <w:tc>
          <w:tcPr>
            <w:tcW w:w="906" w:type="pct"/>
            <w:tcBorders>
              <w:top w:val="single" w:color="auto" w:sz="4" w:space="0"/>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000000"/>
                <w:kern w:val="0"/>
                <w:szCs w:val="21"/>
              </w:rPr>
            </w:pPr>
            <w:r>
              <w:rPr>
                <w:rFonts w:hint="eastAsia" w:ascii="仿宋_GB2312" w:hAnsi="宋体" w:eastAsia="仿宋_GB2312" w:cs="宋体"/>
                <w:color w:val="000000"/>
                <w:kern w:val="0"/>
                <w:szCs w:val="21"/>
              </w:rPr>
              <w:t>全年预算数</w:t>
            </w:r>
          </w:p>
        </w:tc>
        <w:tc>
          <w:tcPr>
            <w:tcW w:w="924"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全年执行数</w:t>
            </w:r>
          </w:p>
        </w:tc>
        <w:tc>
          <w:tcPr>
            <w:tcW w:w="260"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分值</w:t>
            </w:r>
          </w:p>
        </w:tc>
        <w:tc>
          <w:tcPr>
            <w:tcW w:w="356"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执行率</w:t>
            </w:r>
          </w:p>
        </w:tc>
        <w:tc>
          <w:tcPr>
            <w:tcW w:w="519"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得分</w:t>
            </w:r>
          </w:p>
        </w:tc>
      </w:tr>
      <w:tr>
        <w:tblPrEx>
          <w:tblCellMar>
            <w:top w:w="0" w:type="dxa"/>
            <w:left w:w="108" w:type="dxa"/>
            <w:bottom w:w="0" w:type="dxa"/>
            <w:right w:w="108" w:type="dxa"/>
          </w:tblCellMar>
        </w:tblPrEx>
        <w:trPr>
          <w:trHeight w:val="20" w:hRule="atLeast"/>
        </w:trPr>
        <w:tc>
          <w:tcPr>
            <w:tcW w:w="459" w:type="pct"/>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hAnsi="宋体" w:eastAsia="仿宋_GB2312" w:cs="宋体"/>
                <w:color w:val="000000"/>
                <w:kern w:val="0"/>
                <w:szCs w:val="21"/>
              </w:rPr>
            </w:pPr>
          </w:p>
        </w:tc>
        <w:tc>
          <w:tcPr>
            <w:tcW w:w="658" w:type="pct"/>
            <w:tcBorders>
              <w:top w:val="single" w:color="auto" w:sz="4" w:space="0"/>
              <w:left w:val="nil"/>
              <w:bottom w:val="single" w:color="auto" w:sz="4" w:space="0"/>
              <w:right w:val="nil"/>
            </w:tcBorders>
            <w:shd w:val="clear" w:color="auto" w:fill="auto"/>
            <w:vAlign w:val="center"/>
          </w:tcPr>
          <w:p>
            <w:pPr>
              <w:widowControl/>
              <w:rPr>
                <w:rFonts w:ascii="仿宋_GB2312" w:hAnsi="宋体" w:eastAsia="仿宋_GB2312" w:cs="宋体"/>
                <w:color w:val="000000"/>
                <w:kern w:val="0"/>
                <w:szCs w:val="21"/>
              </w:rPr>
            </w:pPr>
            <w:r>
              <w:rPr>
                <w:rFonts w:hint="eastAsia" w:ascii="仿宋_GB2312" w:hAnsi="宋体" w:eastAsia="仿宋_GB2312" w:cs="宋体"/>
                <w:color w:val="000000"/>
                <w:kern w:val="0"/>
                <w:szCs w:val="21"/>
              </w:rPr>
              <w:t>年度资金总额</w:t>
            </w:r>
          </w:p>
        </w:tc>
        <w:tc>
          <w:tcPr>
            <w:tcW w:w="918"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9.300000</w:t>
            </w:r>
          </w:p>
        </w:tc>
        <w:tc>
          <w:tcPr>
            <w:tcW w:w="906"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9.300000</w:t>
            </w:r>
          </w:p>
        </w:tc>
        <w:tc>
          <w:tcPr>
            <w:tcW w:w="924"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9.300000</w:t>
            </w:r>
          </w:p>
        </w:tc>
        <w:tc>
          <w:tcPr>
            <w:tcW w:w="260"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10</w:t>
            </w:r>
          </w:p>
        </w:tc>
        <w:tc>
          <w:tcPr>
            <w:tcW w:w="356"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100.00%</w:t>
            </w:r>
          </w:p>
        </w:tc>
        <w:tc>
          <w:tcPr>
            <w:tcW w:w="519"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10.00</w:t>
            </w:r>
          </w:p>
        </w:tc>
      </w:tr>
      <w:tr>
        <w:tblPrEx>
          <w:tblCellMar>
            <w:top w:w="0" w:type="dxa"/>
            <w:left w:w="108" w:type="dxa"/>
            <w:bottom w:w="0" w:type="dxa"/>
            <w:right w:w="108" w:type="dxa"/>
          </w:tblCellMar>
        </w:tblPrEx>
        <w:trPr>
          <w:trHeight w:val="20" w:hRule="atLeast"/>
        </w:trPr>
        <w:tc>
          <w:tcPr>
            <w:tcW w:w="459" w:type="pct"/>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hAnsi="宋体" w:eastAsia="仿宋_GB2312" w:cs="宋体"/>
                <w:color w:val="000000"/>
                <w:kern w:val="0"/>
                <w:szCs w:val="21"/>
              </w:rPr>
            </w:pPr>
          </w:p>
        </w:tc>
        <w:tc>
          <w:tcPr>
            <w:tcW w:w="658" w:type="pct"/>
            <w:tcBorders>
              <w:top w:val="single" w:color="auto" w:sz="4" w:space="0"/>
              <w:left w:val="nil"/>
              <w:bottom w:val="single" w:color="auto" w:sz="4" w:space="0"/>
              <w:right w:val="nil"/>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其中：当年财政拨款</w:t>
            </w:r>
          </w:p>
        </w:tc>
        <w:tc>
          <w:tcPr>
            <w:tcW w:w="918"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9.300000</w:t>
            </w:r>
          </w:p>
        </w:tc>
        <w:tc>
          <w:tcPr>
            <w:tcW w:w="906"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9.300000</w:t>
            </w:r>
          </w:p>
        </w:tc>
        <w:tc>
          <w:tcPr>
            <w:tcW w:w="924"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9.300000</w:t>
            </w:r>
          </w:p>
        </w:tc>
        <w:tc>
          <w:tcPr>
            <w:tcW w:w="260"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　</w:t>
            </w:r>
          </w:p>
        </w:tc>
        <w:tc>
          <w:tcPr>
            <w:tcW w:w="356" w:type="pct"/>
            <w:tcBorders>
              <w:top w:val="single" w:color="auto" w:sz="4" w:space="0"/>
              <w:left w:val="nil"/>
              <w:bottom w:val="single" w:color="auto" w:sz="4" w:space="0"/>
              <w:right w:val="nil"/>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100.00%</w:t>
            </w:r>
          </w:p>
        </w:tc>
        <w:tc>
          <w:tcPr>
            <w:tcW w:w="519"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w:t>
            </w:r>
          </w:p>
        </w:tc>
      </w:tr>
      <w:tr>
        <w:tblPrEx>
          <w:tblCellMar>
            <w:top w:w="0" w:type="dxa"/>
            <w:left w:w="108" w:type="dxa"/>
            <w:bottom w:w="0" w:type="dxa"/>
            <w:right w:w="108" w:type="dxa"/>
          </w:tblCellMar>
        </w:tblPrEx>
        <w:trPr>
          <w:trHeight w:val="20" w:hRule="atLeast"/>
        </w:trPr>
        <w:tc>
          <w:tcPr>
            <w:tcW w:w="459" w:type="pct"/>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hAnsi="宋体" w:eastAsia="仿宋_GB2312" w:cs="宋体"/>
                <w:color w:val="000000"/>
                <w:kern w:val="0"/>
                <w:szCs w:val="21"/>
              </w:rPr>
            </w:pPr>
          </w:p>
        </w:tc>
        <w:tc>
          <w:tcPr>
            <w:tcW w:w="658" w:type="pct"/>
            <w:tcBorders>
              <w:top w:val="single" w:color="auto" w:sz="4" w:space="0"/>
              <w:left w:val="nil"/>
              <w:bottom w:val="single" w:color="auto" w:sz="4" w:space="0"/>
              <w:right w:val="nil"/>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上年结转资金</w:t>
            </w:r>
          </w:p>
        </w:tc>
        <w:tc>
          <w:tcPr>
            <w:tcW w:w="918"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　</w:t>
            </w:r>
          </w:p>
        </w:tc>
        <w:tc>
          <w:tcPr>
            <w:tcW w:w="906"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　</w:t>
            </w:r>
          </w:p>
        </w:tc>
        <w:tc>
          <w:tcPr>
            <w:tcW w:w="924"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　</w:t>
            </w:r>
          </w:p>
        </w:tc>
        <w:tc>
          <w:tcPr>
            <w:tcW w:w="260"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w:t>
            </w:r>
          </w:p>
        </w:tc>
        <w:tc>
          <w:tcPr>
            <w:tcW w:w="356"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　</w:t>
            </w:r>
          </w:p>
        </w:tc>
        <w:tc>
          <w:tcPr>
            <w:tcW w:w="519"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w:t>
            </w:r>
          </w:p>
        </w:tc>
      </w:tr>
      <w:tr>
        <w:tblPrEx>
          <w:tblCellMar>
            <w:top w:w="0" w:type="dxa"/>
            <w:left w:w="108" w:type="dxa"/>
            <w:bottom w:w="0" w:type="dxa"/>
            <w:right w:w="108" w:type="dxa"/>
          </w:tblCellMar>
        </w:tblPrEx>
        <w:trPr>
          <w:trHeight w:val="20" w:hRule="atLeast"/>
        </w:trPr>
        <w:tc>
          <w:tcPr>
            <w:tcW w:w="459" w:type="pct"/>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hAnsi="宋体" w:eastAsia="仿宋_GB2312" w:cs="宋体"/>
                <w:color w:val="000000"/>
                <w:kern w:val="0"/>
                <w:szCs w:val="21"/>
              </w:rPr>
            </w:pPr>
          </w:p>
        </w:tc>
        <w:tc>
          <w:tcPr>
            <w:tcW w:w="658" w:type="pct"/>
            <w:tcBorders>
              <w:top w:val="single" w:color="auto" w:sz="4" w:space="0"/>
              <w:left w:val="nil"/>
              <w:bottom w:val="single" w:color="auto" w:sz="4" w:space="0"/>
              <w:right w:val="nil"/>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其他资金</w:t>
            </w:r>
          </w:p>
        </w:tc>
        <w:tc>
          <w:tcPr>
            <w:tcW w:w="918"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　</w:t>
            </w:r>
          </w:p>
        </w:tc>
        <w:tc>
          <w:tcPr>
            <w:tcW w:w="906"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　</w:t>
            </w:r>
          </w:p>
        </w:tc>
        <w:tc>
          <w:tcPr>
            <w:tcW w:w="924"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　</w:t>
            </w:r>
          </w:p>
        </w:tc>
        <w:tc>
          <w:tcPr>
            <w:tcW w:w="260"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w:t>
            </w:r>
          </w:p>
        </w:tc>
        <w:tc>
          <w:tcPr>
            <w:tcW w:w="356"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　</w:t>
            </w:r>
          </w:p>
        </w:tc>
        <w:tc>
          <w:tcPr>
            <w:tcW w:w="519"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w:t>
            </w:r>
          </w:p>
        </w:tc>
      </w:tr>
      <w:tr>
        <w:tblPrEx>
          <w:tblCellMar>
            <w:top w:w="0" w:type="dxa"/>
            <w:left w:w="108" w:type="dxa"/>
            <w:bottom w:w="0" w:type="dxa"/>
            <w:right w:w="108" w:type="dxa"/>
          </w:tblCellMar>
        </w:tblPrEx>
        <w:trPr>
          <w:trHeight w:val="20" w:hRule="atLeast"/>
        </w:trPr>
        <w:tc>
          <w:tcPr>
            <w:tcW w:w="187"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年度总体目标</w:t>
            </w:r>
          </w:p>
        </w:tc>
        <w:tc>
          <w:tcPr>
            <w:tcW w:w="2754" w:type="pct"/>
            <w:gridSpan w:val="4"/>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预期目标</w:t>
            </w:r>
          </w:p>
        </w:tc>
        <w:tc>
          <w:tcPr>
            <w:tcW w:w="2059" w:type="pct"/>
            <w:gridSpan w:val="4"/>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实际完成情况</w:t>
            </w:r>
          </w:p>
        </w:tc>
      </w:tr>
      <w:tr>
        <w:tblPrEx>
          <w:tblCellMar>
            <w:top w:w="0" w:type="dxa"/>
            <w:left w:w="108" w:type="dxa"/>
            <w:bottom w:w="0" w:type="dxa"/>
            <w:right w:w="108" w:type="dxa"/>
          </w:tblCellMar>
        </w:tblPrEx>
        <w:trPr>
          <w:trHeight w:val="20" w:hRule="atLeast"/>
        </w:trPr>
        <w:tc>
          <w:tcPr>
            <w:tcW w:w="187"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hAnsi="宋体" w:eastAsia="仿宋_GB2312" w:cs="宋体"/>
                <w:color w:val="000000"/>
                <w:kern w:val="0"/>
                <w:szCs w:val="21"/>
              </w:rPr>
            </w:pPr>
          </w:p>
        </w:tc>
        <w:tc>
          <w:tcPr>
            <w:tcW w:w="2754" w:type="pct"/>
            <w:gridSpan w:val="4"/>
            <w:tcBorders>
              <w:top w:val="single" w:color="auto" w:sz="4" w:space="0"/>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000000"/>
                <w:kern w:val="0"/>
                <w:szCs w:val="21"/>
              </w:rPr>
            </w:pPr>
            <w:r>
              <w:rPr>
                <w:rFonts w:hint="eastAsia" w:ascii="仿宋_GB2312" w:hAnsi="宋体" w:eastAsia="仿宋_GB2312" w:cs="宋体"/>
                <w:color w:val="000000"/>
                <w:kern w:val="0"/>
                <w:szCs w:val="21"/>
              </w:rPr>
              <w:t>全面落实国家及北京市学生资助政策，体现党和政府对家庭经济困难学生的关怀，保证人民享有接受教育的机会，促进教育公平，使家庭经济困难学生顺利完成学业,并激励学生勤奋学习、努力进取。使40名同学的学习和生活得到了保障。</w:t>
            </w:r>
          </w:p>
        </w:tc>
        <w:tc>
          <w:tcPr>
            <w:tcW w:w="2059" w:type="pct"/>
            <w:gridSpan w:val="4"/>
            <w:tcBorders>
              <w:top w:val="single" w:color="auto" w:sz="4" w:space="0"/>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000000"/>
                <w:kern w:val="0"/>
                <w:szCs w:val="21"/>
              </w:rPr>
            </w:pPr>
            <w:r>
              <w:rPr>
                <w:rFonts w:hint="eastAsia" w:ascii="仿宋_GB2312" w:hAnsi="宋体" w:eastAsia="仿宋_GB2312" w:cs="宋体"/>
                <w:color w:val="000000"/>
                <w:kern w:val="0"/>
                <w:szCs w:val="21"/>
              </w:rPr>
              <w:t>全面落实国家及北京市学生资助政策，体现党和政府对家庭经济困难学生的关怀，保证人民享有接受教育的机会，促进教育公平，使家庭经济困难学生顺利完成学业,并激励学生勤奋学习、努力进取。使上半年52人次，下半年70人次全体受助同学的学习和生活得到保障。</w:t>
            </w:r>
          </w:p>
        </w:tc>
      </w:tr>
      <w:tr>
        <w:tblPrEx>
          <w:tblCellMar>
            <w:top w:w="0" w:type="dxa"/>
            <w:left w:w="108" w:type="dxa"/>
            <w:bottom w:w="0" w:type="dxa"/>
            <w:right w:w="108" w:type="dxa"/>
          </w:tblCellMar>
        </w:tblPrEx>
        <w:trPr>
          <w:trHeight w:val="20" w:hRule="atLeast"/>
        </w:trPr>
        <w:tc>
          <w:tcPr>
            <w:tcW w:w="187"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绩效指标</w:t>
            </w:r>
          </w:p>
        </w:tc>
        <w:tc>
          <w:tcPr>
            <w:tcW w:w="272"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一级指标</w:t>
            </w:r>
          </w:p>
        </w:tc>
        <w:tc>
          <w:tcPr>
            <w:tcW w:w="658"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二级指标</w:t>
            </w:r>
          </w:p>
        </w:tc>
        <w:tc>
          <w:tcPr>
            <w:tcW w:w="918"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三级指标</w:t>
            </w:r>
          </w:p>
        </w:tc>
        <w:tc>
          <w:tcPr>
            <w:tcW w:w="906"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rPr>
            </w:pPr>
            <w:bookmarkStart w:id="1" w:name="_GoBack"/>
            <w:bookmarkEnd w:id="1"/>
            <w:r>
              <w:rPr>
                <w:rFonts w:hint="eastAsia" w:ascii="仿宋_GB2312" w:hAnsi="宋体" w:eastAsia="仿宋_GB2312" w:cs="宋体"/>
                <w:color w:val="000000"/>
                <w:kern w:val="0"/>
                <w:szCs w:val="21"/>
              </w:rPr>
              <w:t>年度指标值</w:t>
            </w:r>
          </w:p>
        </w:tc>
        <w:tc>
          <w:tcPr>
            <w:tcW w:w="924"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实际完成值</w:t>
            </w:r>
          </w:p>
        </w:tc>
        <w:tc>
          <w:tcPr>
            <w:tcW w:w="260"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分值</w:t>
            </w:r>
          </w:p>
        </w:tc>
        <w:tc>
          <w:tcPr>
            <w:tcW w:w="356"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得分</w:t>
            </w:r>
          </w:p>
        </w:tc>
        <w:tc>
          <w:tcPr>
            <w:tcW w:w="519"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偏差原因分析及改进措施</w:t>
            </w:r>
          </w:p>
        </w:tc>
      </w:tr>
      <w:tr>
        <w:tblPrEx>
          <w:tblCellMar>
            <w:top w:w="0" w:type="dxa"/>
            <w:left w:w="108" w:type="dxa"/>
            <w:bottom w:w="0" w:type="dxa"/>
            <w:right w:w="108" w:type="dxa"/>
          </w:tblCellMar>
        </w:tblPrEx>
        <w:trPr>
          <w:trHeight w:val="20" w:hRule="atLeast"/>
        </w:trPr>
        <w:tc>
          <w:tcPr>
            <w:tcW w:w="187"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hAnsi="宋体" w:eastAsia="仿宋_GB2312" w:cs="宋体"/>
                <w:color w:val="000000"/>
                <w:kern w:val="0"/>
                <w:szCs w:val="21"/>
              </w:rPr>
            </w:pPr>
          </w:p>
        </w:tc>
        <w:tc>
          <w:tcPr>
            <w:tcW w:w="272"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产出指标</w:t>
            </w:r>
          </w:p>
        </w:tc>
        <w:tc>
          <w:tcPr>
            <w:tcW w:w="658"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数量指标</w:t>
            </w:r>
          </w:p>
        </w:tc>
        <w:tc>
          <w:tcPr>
            <w:tcW w:w="918"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1.支持学生参加国际、国家、北京市相关活动100人次</w:t>
            </w:r>
          </w:p>
        </w:tc>
        <w:tc>
          <w:tcPr>
            <w:tcW w:w="906"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≥100人/年</w:t>
            </w:r>
          </w:p>
        </w:tc>
        <w:tc>
          <w:tcPr>
            <w:tcW w:w="924"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按照项目要求，中职国家助学金本年共发放152人次，圆满完成预期目标。达到预期效果</w:t>
            </w:r>
          </w:p>
        </w:tc>
        <w:tc>
          <w:tcPr>
            <w:tcW w:w="260"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5</w:t>
            </w:r>
          </w:p>
        </w:tc>
        <w:tc>
          <w:tcPr>
            <w:tcW w:w="356"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3</w:t>
            </w:r>
          </w:p>
        </w:tc>
        <w:tc>
          <w:tcPr>
            <w:tcW w:w="519"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按照我校资助流程，做到应助尽助，以后项目进一步科学统筹，争取100%完成。加大普查和动态资助力度，全面精准资助。</w:t>
            </w:r>
          </w:p>
        </w:tc>
      </w:tr>
      <w:tr>
        <w:tblPrEx>
          <w:tblCellMar>
            <w:top w:w="0" w:type="dxa"/>
            <w:left w:w="108" w:type="dxa"/>
            <w:bottom w:w="0" w:type="dxa"/>
            <w:right w:w="108" w:type="dxa"/>
          </w:tblCellMar>
        </w:tblPrEx>
        <w:trPr>
          <w:trHeight w:val="20" w:hRule="atLeast"/>
        </w:trPr>
        <w:tc>
          <w:tcPr>
            <w:tcW w:w="187"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hAnsi="宋体" w:eastAsia="仿宋_GB2312" w:cs="宋体"/>
                <w:color w:val="000000"/>
                <w:kern w:val="0"/>
                <w:szCs w:val="21"/>
              </w:rPr>
            </w:pPr>
          </w:p>
        </w:tc>
        <w:tc>
          <w:tcPr>
            <w:tcW w:w="272"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hAnsi="宋体" w:eastAsia="仿宋_GB2312" w:cs="宋体"/>
                <w:color w:val="000000"/>
                <w:kern w:val="0"/>
                <w:szCs w:val="21"/>
              </w:rPr>
            </w:pPr>
          </w:p>
        </w:tc>
        <w:tc>
          <w:tcPr>
            <w:tcW w:w="658"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hAnsi="宋体" w:eastAsia="仿宋_GB2312" w:cs="宋体"/>
                <w:color w:val="000000"/>
                <w:kern w:val="0"/>
                <w:szCs w:val="21"/>
              </w:rPr>
            </w:pPr>
          </w:p>
        </w:tc>
        <w:tc>
          <w:tcPr>
            <w:tcW w:w="918"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2举办诚信感恩自强系列活动20次（包括非遗进校园、观影，素质拓展，讲座、论坛、画展、比赛等），参与人数200人次</w:t>
            </w:r>
          </w:p>
        </w:tc>
        <w:tc>
          <w:tcPr>
            <w:tcW w:w="906"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≥200人/年</w:t>
            </w:r>
          </w:p>
        </w:tc>
        <w:tc>
          <w:tcPr>
            <w:tcW w:w="924"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一等2500元／人，二等1800元，严格执行预算制度，与预算一致。完成152人次的资助，因下半年疫情，活动开展暂停</w:t>
            </w:r>
          </w:p>
        </w:tc>
        <w:tc>
          <w:tcPr>
            <w:tcW w:w="260"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5</w:t>
            </w:r>
          </w:p>
        </w:tc>
        <w:tc>
          <w:tcPr>
            <w:tcW w:w="356"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0</w:t>
            </w:r>
          </w:p>
        </w:tc>
        <w:tc>
          <w:tcPr>
            <w:tcW w:w="519"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因下半年疫情，活动开展暂停</w:t>
            </w:r>
          </w:p>
        </w:tc>
      </w:tr>
      <w:tr>
        <w:tblPrEx>
          <w:tblCellMar>
            <w:top w:w="0" w:type="dxa"/>
            <w:left w:w="108" w:type="dxa"/>
            <w:bottom w:w="0" w:type="dxa"/>
            <w:right w:w="108" w:type="dxa"/>
          </w:tblCellMar>
        </w:tblPrEx>
        <w:trPr>
          <w:trHeight w:val="20" w:hRule="atLeast"/>
        </w:trPr>
        <w:tc>
          <w:tcPr>
            <w:tcW w:w="187"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hAnsi="宋体" w:eastAsia="仿宋_GB2312" w:cs="宋体"/>
                <w:color w:val="000000"/>
                <w:kern w:val="0"/>
                <w:szCs w:val="21"/>
              </w:rPr>
            </w:pPr>
          </w:p>
        </w:tc>
        <w:tc>
          <w:tcPr>
            <w:tcW w:w="272"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hAnsi="宋体" w:eastAsia="仿宋_GB2312" w:cs="宋体"/>
                <w:color w:val="000000"/>
                <w:kern w:val="0"/>
                <w:szCs w:val="21"/>
              </w:rPr>
            </w:pPr>
          </w:p>
        </w:tc>
        <w:tc>
          <w:tcPr>
            <w:tcW w:w="658"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hAnsi="宋体" w:eastAsia="仿宋_GB2312" w:cs="宋体"/>
                <w:color w:val="000000"/>
                <w:kern w:val="0"/>
                <w:szCs w:val="21"/>
              </w:rPr>
            </w:pPr>
          </w:p>
        </w:tc>
        <w:tc>
          <w:tcPr>
            <w:tcW w:w="918"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3.发展校级学生社团1个，资助小分队5个，公寓勤工助学站一个</w:t>
            </w:r>
          </w:p>
        </w:tc>
        <w:tc>
          <w:tcPr>
            <w:tcW w:w="906"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≥7个（台、套、件、辆）</w:t>
            </w:r>
          </w:p>
        </w:tc>
        <w:tc>
          <w:tcPr>
            <w:tcW w:w="924"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发展校级铸梦社一个，二级学院资助小分队5个，公寓勤工助学站一个</w:t>
            </w:r>
          </w:p>
        </w:tc>
        <w:tc>
          <w:tcPr>
            <w:tcW w:w="260"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5</w:t>
            </w:r>
          </w:p>
        </w:tc>
        <w:tc>
          <w:tcPr>
            <w:tcW w:w="356"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5</w:t>
            </w:r>
          </w:p>
        </w:tc>
        <w:tc>
          <w:tcPr>
            <w:tcW w:w="519" w:type="pct"/>
            <w:tcBorders>
              <w:top w:val="single" w:color="auto" w:sz="4" w:space="0"/>
              <w:left w:val="nil"/>
              <w:bottom w:val="single" w:color="auto" w:sz="4" w:space="0"/>
              <w:right w:val="single" w:color="auto" w:sz="4" w:space="0"/>
            </w:tcBorders>
            <w:shd w:val="clear" w:color="auto" w:fill="auto"/>
          </w:tcPr>
          <w:p>
            <w:pPr>
              <w:widowControl/>
              <w:jc w:val="center"/>
              <w:rPr>
                <w:rFonts w:ascii="宋体" w:hAnsi="宋体" w:eastAsia="宋体" w:cs="宋体"/>
                <w:color w:val="000000"/>
                <w:kern w:val="0"/>
                <w:sz w:val="18"/>
                <w:szCs w:val="18"/>
              </w:rPr>
            </w:pPr>
            <w:r>
              <w:rPr>
                <w:rFonts w:hint="eastAsia" w:ascii="仿宋_GB2312" w:hAnsi="宋体" w:eastAsia="仿宋_GB2312" w:cs="宋体"/>
                <w:color w:val="000000"/>
                <w:kern w:val="0"/>
                <w:szCs w:val="21"/>
              </w:rPr>
              <w:t>无</w:t>
            </w:r>
          </w:p>
        </w:tc>
      </w:tr>
      <w:tr>
        <w:tblPrEx>
          <w:tblCellMar>
            <w:top w:w="0" w:type="dxa"/>
            <w:left w:w="108" w:type="dxa"/>
            <w:bottom w:w="0" w:type="dxa"/>
            <w:right w:w="108" w:type="dxa"/>
          </w:tblCellMar>
        </w:tblPrEx>
        <w:trPr>
          <w:trHeight w:val="20" w:hRule="atLeast"/>
        </w:trPr>
        <w:tc>
          <w:tcPr>
            <w:tcW w:w="187"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hAnsi="宋体" w:eastAsia="仿宋_GB2312" w:cs="宋体"/>
                <w:color w:val="000000"/>
                <w:kern w:val="0"/>
                <w:szCs w:val="21"/>
              </w:rPr>
            </w:pPr>
          </w:p>
        </w:tc>
        <w:tc>
          <w:tcPr>
            <w:tcW w:w="272"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hAnsi="宋体" w:eastAsia="仿宋_GB2312" w:cs="宋体"/>
                <w:color w:val="000000"/>
                <w:kern w:val="0"/>
                <w:szCs w:val="21"/>
              </w:rPr>
            </w:pPr>
          </w:p>
        </w:tc>
        <w:tc>
          <w:tcPr>
            <w:tcW w:w="658"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质量指标</w:t>
            </w:r>
          </w:p>
        </w:tc>
        <w:tc>
          <w:tcPr>
            <w:tcW w:w="918"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理论联系实践，受助学生从学习生活各方面质量有了较大提升，他们在校期间也达成了大学生较好的行为和学习规范。</w:t>
            </w:r>
          </w:p>
        </w:tc>
        <w:tc>
          <w:tcPr>
            <w:tcW w:w="906"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≥90%</w:t>
            </w:r>
          </w:p>
        </w:tc>
        <w:tc>
          <w:tcPr>
            <w:tcW w:w="924"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一等2500元／人，二等1800元，严格执行预算制度，与预算一致。理论联系实践，受助学生从学习生活各方面质量有了较大提升，他们在校期间也达成了大学生较好的行为和学习规范。</w:t>
            </w:r>
          </w:p>
        </w:tc>
        <w:tc>
          <w:tcPr>
            <w:tcW w:w="260"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15</w:t>
            </w:r>
          </w:p>
        </w:tc>
        <w:tc>
          <w:tcPr>
            <w:tcW w:w="356"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15</w:t>
            </w:r>
          </w:p>
        </w:tc>
        <w:tc>
          <w:tcPr>
            <w:tcW w:w="519" w:type="pct"/>
            <w:tcBorders>
              <w:top w:val="single" w:color="auto" w:sz="4" w:space="0"/>
              <w:left w:val="nil"/>
              <w:bottom w:val="single" w:color="auto" w:sz="4" w:space="0"/>
              <w:right w:val="single" w:color="auto" w:sz="4" w:space="0"/>
            </w:tcBorders>
            <w:shd w:val="clear" w:color="auto" w:fill="auto"/>
          </w:tcPr>
          <w:p>
            <w:pPr>
              <w:widowControl/>
              <w:jc w:val="center"/>
              <w:rPr>
                <w:rFonts w:ascii="宋体" w:hAnsi="宋体" w:eastAsia="宋体" w:cs="宋体"/>
                <w:color w:val="000000"/>
                <w:kern w:val="0"/>
                <w:sz w:val="18"/>
                <w:szCs w:val="18"/>
              </w:rPr>
            </w:pPr>
            <w:r>
              <w:rPr>
                <w:rFonts w:hint="eastAsia" w:ascii="仿宋_GB2312" w:hAnsi="宋体" w:eastAsia="仿宋_GB2312" w:cs="宋体"/>
                <w:color w:val="000000"/>
                <w:kern w:val="0"/>
                <w:szCs w:val="21"/>
              </w:rPr>
              <w:t>无</w:t>
            </w:r>
          </w:p>
        </w:tc>
      </w:tr>
      <w:tr>
        <w:tblPrEx>
          <w:tblCellMar>
            <w:top w:w="0" w:type="dxa"/>
            <w:left w:w="108" w:type="dxa"/>
            <w:bottom w:w="0" w:type="dxa"/>
            <w:right w:w="108" w:type="dxa"/>
          </w:tblCellMar>
        </w:tblPrEx>
        <w:trPr>
          <w:trHeight w:val="20" w:hRule="atLeast"/>
        </w:trPr>
        <w:tc>
          <w:tcPr>
            <w:tcW w:w="187"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hAnsi="宋体" w:eastAsia="仿宋_GB2312" w:cs="宋体"/>
                <w:color w:val="000000"/>
                <w:kern w:val="0"/>
                <w:szCs w:val="21"/>
              </w:rPr>
            </w:pPr>
          </w:p>
        </w:tc>
        <w:tc>
          <w:tcPr>
            <w:tcW w:w="272"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hAnsi="宋体" w:eastAsia="仿宋_GB2312" w:cs="宋体"/>
                <w:color w:val="000000"/>
                <w:kern w:val="0"/>
                <w:szCs w:val="21"/>
              </w:rPr>
            </w:pPr>
          </w:p>
        </w:tc>
        <w:tc>
          <w:tcPr>
            <w:tcW w:w="658"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时效指标</w:t>
            </w:r>
          </w:p>
        </w:tc>
        <w:tc>
          <w:tcPr>
            <w:tcW w:w="918"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2021.9-2021.12完成家庭经济情况资格复审工作。  等待教委指标下达后，2022.6前学校将符合助学金条件人数下拨资金  2022.9-12完成同学的教育管理工作。此项工作贯穿全年。</w:t>
            </w:r>
          </w:p>
        </w:tc>
        <w:tc>
          <w:tcPr>
            <w:tcW w:w="906"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≥100%</w:t>
            </w:r>
          </w:p>
        </w:tc>
        <w:tc>
          <w:tcPr>
            <w:tcW w:w="924"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按时、按阶段发放至学生个人，无挪用，无截留</w:t>
            </w:r>
          </w:p>
        </w:tc>
        <w:tc>
          <w:tcPr>
            <w:tcW w:w="260"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10</w:t>
            </w:r>
          </w:p>
        </w:tc>
        <w:tc>
          <w:tcPr>
            <w:tcW w:w="356"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10</w:t>
            </w:r>
          </w:p>
        </w:tc>
        <w:tc>
          <w:tcPr>
            <w:tcW w:w="519" w:type="pct"/>
            <w:tcBorders>
              <w:top w:val="single" w:color="auto" w:sz="4" w:space="0"/>
              <w:left w:val="nil"/>
              <w:bottom w:val="single" w:color="auto" w:sz="4" w:space="0"/>
              <w:right w:val="single" w:color="auto" w:sz="4" w:space="0"/>
            </w:tcBorders>
            <w:shd w:val="clear" w:color="auto" w:fill="auto"/>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无</w:t>
            </w:r>
          </w:p>
        </w:tc>
      </w:tr>
      <w:tr>
        <w:tblPrEx>
          <w:tblCellMar>
            <w:top w:w="0" w:type="dxa"/>
            <w:left w:w="108" w:type="dxa"/>
            <w:bottom w:w="0" w:type="dxa"/>
            <w:right w:w="108" w:type="dxa"/>
          </w:tblCellMar>
        </w:tblPrEx>
        <w:trPr>
          <w:trHeight w:val="20" w:hRule="atLeast"/>
        </w:trPr>
        <w:tc>
          <w:tcPr>
            <w:tcW w:w="187"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hAnsi="宋体" w:eastAsia="仿宋_GB2312" w:cs="宋体"/>
                <w:color w:val="000000"/>
                <w:kern w:val="0"/>
                <w:szCs w:val="21"/>
              </w:rPr>
            </w:pPr>
          </w:p>
        </w:tc>
        <w:tc>
          <w:tcPr>
            <w:tcW w:w="272"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hAnsi="宋体" w:eastAsia="仿宋_GB2312" w:cs="宋体"/>
                <w:color w:val="000000"/>
                <w:kern w:val="0"/>
                <w:szCs w:val="21"/>
              </w:rPr>
            </w:pPr>
          </w:p>
        </w:tc>
        <w:tc>
          <w:tcPr>
            <w:tcW w:w="658"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成本指标</w:t>
            </w:r>
          </w:p>
        </w:tc>
        <w:tc>
          <w:tcPr>
            <w:tcW w:w="918"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一等250元每月，二等180元每月，严格执行预算制度，与预算9.3万元一致。</w:t>
            </w:r>
          </w:p>
        </w:tc>
        <w:tc>
          <w:tcPr>
            <w:tcW w:w="906"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≥100%</w:t>
            </w:r>
          </w:p>
        </w:tc>
        <w:tc>
          <w:tcPr>
            <w:tcW w:w="924"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一等2500元／人，二等1800元／人。实际支出金额9.3万元</w:t>
            </w:r>
          </w:p>
        </w:tc>
        <w:tc>
          <w:tcPr>
            <w:tcW w:w="260"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10</w:t>
            </w:r>
          </w:p>
        </w:tc>
        <w:tc>
          <w:tcPr>
            <w:tcW w:w="356"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10.00</w:t>
            </w:r>
          </w:p>
        </w:tc>
        <w:tc>
          <w:tcPr>
            <w:tcW w:w="519" w:type="pct"/>
            <w:tcBorders>
              <w:top w:val="single" w:color="auto" w:sz="4" w:space="0"/>
              <w:left w:val="nil"/>
              <w:bottom w:val="single" w:color="auto" w:sz="4" w:space="0"/>
              <w:right w:val="single" w:color="auto" w:sz="4" w:space="0"/>
            </w:tcBorders>
            <w:shd w:val="clear" w:color="auto" w:fill="auto"/>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无</w:t>
            </w:r>
          </w:p>
        </w:tc>
      </w:tr>
      <w:tr>
        <w:tblPrEx>
          <w:tblCellMar>
            <w:top w:w="0" w:type="dxa"/>
            <w:left w:w="108" w:type="dxa"/>
            <w:bottom w:w="0" w:type="dxa"/>
            <w:right w:w="108" w:type="dxa"/>
          </w:tblCellMar>
        </w:tblPrEx>
        <w:trPr>
          <w:trHeight w:val="20" w:hRule="atLeast"/>
        </w:trPr>
        <w:tc>
          <w:tcPr>
            <w:tcW w:w="187"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hAnsi="宋体" w:eastAsia="仿宋_GB2312" w:cs="宋体"/>
                <w:color w:val="000000"/>
                <w:kern w:val="0"/>
                <w:szCs w:val="21"/>
              </w:rPr>
            </w:pPr>
          </w:p>
        </w:tc>
        <w:tc>
          <w:tcPr>
            <w:tcW w:w="272"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效益指标</w:t>
            </w:r>
          </w:p>
        </w:tc>
        <w:tc>
          <w:tcPr>
            <w:tcW w:w="658"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社会效益指标</w:t>
            </w:r>
          </w:p>
        </w:tc>
        <w:tc>
          <w:tcPr>
            <w:tcW w:w="918"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进一步推动义务教育优质均衡发展，支持学校办有特色，增加吸引力和影响力，进一步缓解择校矛盾</w:t>
            </w:r>
          </w:p>
        </w:tc>
        <w:tc>
          <w:tcPr>
            <w:tcW w:w="906"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≥100%</w:t>
            </w:r>
          </w:p>
        </w:tc>
        <w:tc>
          <w:tcPr>
            <w:tcW w:w="924"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得到了广大学生和家长的</w:t>
            </w:r>
            <w:r>
              <w:rPr>
                <w:rFonts w:hint="eastAsia" w:ascii="仿宋_GB2312" w:hAnsi="宋体" w:eastAsia="仿宋_GB2312" w:cs="宋体"/>
                <w:color w:val="000000"/>
                <w:kern w:val="0"/>
                <w:szCs w:val="21"/>
                <w:lang w:eastAsia="zh-CN"/>
              </w:rPr>
              <w:t>一致好评</w:t>
            </w:r>
            <w:r>
              <w:rPr>
                <w:rFonts w:hint="eastAsia" w:ascii="仿宋_GB2312" w:hAnsi="宋体" w:eastAsia="仿宋_GB2312" w:cs="宋体"/>
                <w:color w:val="000000"/>
                <w:kern w:val="0"/>
                <w:szCs w:val="21"/>
              </w:rPr>
              <w:t>，学生感恩学校，感恩社会！增加吸引力和影响力。</w:t>
            </w:r>
          </w:p>
        </w:tc>
        <w:tc>
          <w:tcPr>
            <w:tcW w:w="260"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30</w:t>
            </w:r>
          </w:p>
        </w:tc>
        <w:tc>
          <w:tcPr>
            <w:tcW w:w="356"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30</w:t>
            </w:r>
          </w:p>
        </w:tc>
        <w:tc>
          <w:tcPr>
            <w:tcW w:w="519" w:type="pct"/>
            <w:tcBorders>
              <w:top w:val="single" w:color="auto" w:sz="4" w:space="0"/>
              <w:left w:val="nil"/>
              <w:bottom w:val="single" w:color="auto" w:sz="4" w:space="0"/>
              <w:right w:val="single" w:color="auto" w:sz="4" w:space="0"/>
            </w:tcBorders>
            <w:shd w:val="clear" w:color="auto" w:fill="auto"/>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无</w:t>
            </w:r>
          </w:p>
        </w:tc>
      </w:tr>
      <w:tr>
        <w:tblPrEx>
          <w:tblCellMar>
            <w:top w:w="0" w:type="dxa"/>
            <w:left w:w="108" w:type="dxa"/>
            <w:bottom w:w="0" w:type="dxa"/>
            <w:right w:w="108" w:type="dxa"/>
          </w:tblCellMar>
        </w:tblPrEx>
        <w:trPr>
          <w:trHeight w:val="20" w:hRule="atLeast"/>
        </w:trPr>
        <w:tc>
          <w:tcPr>
            <w:tcW w:w="187"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hAnsi="宋体" w:eastAsia="仿宋_GB2312" w:cs="宋体"/>
                <w:color w:val="000000"/>
                <w:kern w:val="0"/>
                <w:szCs w:val="21"/>
              </w:rPr>
            </w:pPr>
          </w:p>
        </w:tc>
        <w:tc>
          <w:tcPr>
            <w:tcW w:w="272"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满意度指标</w:t>
            </w:r>
          </w:p>
        </w:tc>
        <w:tc>
          <w:tcPr>
            <w:tcW w:w="658"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服务对象满意度标</w:t>
            </w:r>
          </w:p>
        </w:tc>
        <w:tc>
          <w:tcPr>
            <w:tcW w:w="918"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 xml:space="preserve"> 该项目能够持续性为学校和师生培养德智体美劳全面发展的社会主义建设者。</w:t>
            </w:r>
          </w:p>
        </w:tc>
        <w:tc>
          <w:tcPr>
            <w:tcW w:w="906"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≥99%</w:t>
            </w:r>
          </w:p>
        </w:tc>
        <w:tc>
          <w:tcPr>
            <w:tcW w:w="924"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对符合资助条件的学生，做好普查，精准服务，使受助家庭满意。好评99%</w:t>
            </w:r>
          </w:p>
        </w:tc>
        <w:tc>
          <w:tcPr>
            <w:tcW w:w="260"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5</w:t>
            </w:r>
          </w:p>
        </w:tc>
        <w:tc>
          <w:tcPr>
            <w:tcW w:w="356"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4</w:t>
            </w:r>
          </w:p>
        </w:tc>
        <w:tc>
          <w:tcPr>
            <w:tcW w:w="519"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今后应扎实推进此项工作，注意资料的留存与整理</w:t>
            </w:r>
          </w:p>
        </w:tc>
      </w:tr>
      <w:tr>
        <w:tblPrEx>
          <w:tblCellMar>
            <w:top w:w="0" w:type="dxa"/>
            <w:left w:w="108" w:type="dxa"/>
            <w:bottom w:w="0" w:type="dxa"/>
            <w:right w:w="108" w:type="dxa"/>
          </w:tblCellMar>
        </w:tblPrEx>
        <w:trPr>
          <w:trHeight w:val="20" w:hRule="atLeast"/>
        </w:trPr>
        <w:tc>
          <w:tcPr>
            <w:tcW w:w="187"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hAnsi="宋体" w:eastAsia="仿宋_GB2312" w:cs="宋体"/>
                <w:color w:val="000000"/>
                <w:kern w:val="0"/>
                <w:szCs w:val="21"/>
              </w:rPr>
            </w:pPr>
          </w:p>
        </w:tc>
        <w:tc>
          <w:tcPr>
            <w:tcW w:w="272"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hAnsi="宋体" w:eastAsia="仿宋_GB2312" w:cs="宋体"/>
                <w:color w:val="000000"/>
                <w:kern w:val="0"/>
                <w:szCs w:val="21"/>
              </w:rPr>
            </w:pPr>
          </w:p>
        </w:tc>
        <w:tc>
          <w:tcPr>
            <w:tcW w:w="658"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hAnsi="宋体" w:eastAsia="仿宋_GB2312" w:cs="宋体"/>
                <w:color w:val="000000"/>
                <w:kern w:val="0"/>
                <w:szCs w:val="21"/>
              </w:rPr>
            </w:pPr>
          </w:p>
        </w:tc>
        <w:tc>
          <w:tcPr>
            <w:tcW w:w="918"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受益师生的满意度为99%</w:t>
            </w:r>
          </w:p>
        </w:tc>
        <w:tc>
          <w:tcPr>
            <w:tcW w:w="906"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≥99%</w:t>
            </w:r>
          </w:p>
        </w:tc>
        <w:tc>
          <w:tcPr>
            <w:tcW w:w="924"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对符合资助条件的学生，做好普查，精准服务，使受助家庭满意。不低于99%</w:t>
            </w:r>
          </w:p>
        </w:tc>
        <w:tc>
          <w:tcPr>
            <w:tcW w:w="260"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5</w:t>
            </w:r>
          </w:p>
        </w:tc>
        <w:tc>
          <w:tcPr>
            <w:tcW w:w="356"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4</w:t>
            </w:r>
          </w:p>
        </w:tc>
        <w:tc>
          <w:tcPr>
            <w:tcW w:w="519"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今后应扎实推进此项工作，注意资料的留存与整理</w:t>
            </w:r>
          </w:p>
        </w:tc>
      </w:tr>
      <w:tr>
        <w:tblPrEx>
          <w:tblCellMar>
            <w:top w:w="0" w:type="dxa"/>
            <w:left w:w="108" w:type="dxa"/>
            <w:bottom w:w="0" w:type="dxa"/>
            <w:right w:w="108" w:type="dxa"/>
          </w:tblCellMar>
        </w:tblPrEx>
        <w:trPr>
          <w:trHeight w:val="20" w:hRule="atLeast"/>
        </w:trPr>
        <w:tc>
          <w:tcPr>
            <w:tcW w:w="3865" w:type="pct"/>
            <w:gridSpan w:val="6"/>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总分</w:t>
            </w:r>
          </w:p>
        </w:tc>
        <w:tc>
          <w:tcPr>
            <w:tcW w:w="260"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100</w:t>
            </w:r>
          </w:p>
        </w:tc>
        <w:tc>
          <w:tcPr>
            <w:tcW w:w="356"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 xml:space="preserve">91.00 </w:t>
            </w:r>
          </w:p>
        </w:tc>
        <w:tc>
          <w:tcPr>
            <w:tcW w:w="519" w:type="pct"/>
            <w:tcBorders>
              <w:top w:val="single" w:color="auto" w:sz="4" w:space="0"/>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000000"/>
                <w:kern w:val="0"/>
                <w:szCs w:val="21"/>
              </w:rPr>
            </w:pPr>
            <w:r>
              <w:rPr>
                <w:rFonts w:hint="eastAsia" w:ascii="仿宋_GB2312" w:hAnsi="宋体" w:eastAsia="仿宋_GB2312" w:cs="宋体"/>
                <w:color w:val="000000"/>
                <w:kern w:val="0"/>
                <w:szCs w:val="21"/>
              </w:rPr>
              <w:t>　</w:t>
            </w:r>
          </w:p>
        </w:tc>
      </w:tr>
    </w:tbl>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方正小标宋简体">
    <w:altName w:val="宋体"/>
    <w:panose1 w:val="00000000000000000000"/>
    <w:charset w:val="86"/>
    <w:family w:val="roman"/>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GIyYTFhY2FhY2RjN2E2ZjE5YjM5MTEwYTMzNTI3ZmUifQ=="/>
  </w:docVars>
  <w:rsids>
    <w:rsidRoot w:val="00A57921"/>
    <w:rsid w:val="00012B74"/>
    <w:rsid w:val="003F5396"/>
    <w:rsid w:val="004F4B68"/>
    <w:rsid w:val="006B796B"/>
    <w:rsid w:val="00A57921"/>
    <w:rsid w:val="508427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autoRedefine/>
    <w:semiHidden/>
    <w:unhideWhenUsed/>
    <w:uiPriority w:val="1"/>
  </w:style>
  <w:style w:type="table" w:default="1" w:styleId="2">
    <w:name w:val="Normal Table"/>
    <w:semiHidden/>
    <w:unhideWhenUsed/>
    <w:qFormat/>
    <w:uiPriority w:val="99"/>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253</Words>
  <Characters>1444</Characters>
  <Lines>12</Lines>
  <Paragraphs>3</Paragraphs>
  <TotalTime>2</TotalTime>
  <ScaleCrop>false</ScaleCrop>
  <LinksUpToDate>false</LinksUpToDate>
  <CharactersWithSpaces>1694</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2023-05-10T06:08:00Z</dcterms:created>
  <dc:creator>雪</dc:creator>
  <cp:lastModifiedBy>苏坡云☁️</cp:lastModifiedBy>
  <dcterms:modified xsi:type="dcterms:W3CDTF">2024-02-26T01:43:57Z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A80CC9E1D30740DA9CF2C0FD795EA73D_12</vt:lpwstr>
  </property>
</Properties>
</file>