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4998" w:type="pct"/>
        <w:tblInd w:w="0" w:type="dxa"/>
        <w:tblLayout w:type="autofit"/>
        <w:tblCellMar>
          <w:top w:w="0" w:type="dxa"/>
          <w:left w:w="108" w:type="dxa"/>
          <w:bottom w:w="0" w:type="dxa"/>
          <w:right w:w="108" w:type="dxa"/>
        </w:tblCellMar>
      </w:tblPr>
      <w:tblGrid>
        <w:gridCol w:w="461"/>
        <w:gridCol w:w="426"/>
        <w:gridCol w:w="772"/>
        <w:gridCol w:w="1393"/>
        <w:gridCol w:w="1401"/>
        <w:gridCol w:w="1269"/>
        <w:gridCol w:w="1315"/>
        <w:gridCol w:w="1578"/>
        <w:gridCol w:w="1059"/>
        <w:gridCol w:w="1035"/>
        <w:gridCol w:w="2734"/>
      </w:tblGrid>
      <w:tr>
        <w:tblPrEx>
          <w:tblCellMar>
            <w:top w:w="0" w:type="dxa"/>
            <w:left w:w="108" w:type="dxa"/>
            <w:bottom w:w="0" w:type="dxa"/>
            <w:right w:w="108" w:type="dxa"/>
          </w:tblCellMar>
        </w:tblPrEx>
        <w:trPr>
          <w:trHeight w:val="648" w:hRule="atLeast"/>
        </w:trPr>
        <w:tc>
          <w:tcPr>
            <w:tcW w:w="5000" w:type="pct"/>
            <w:gridSpan w:val="11"/>
            <w:tcBorders>
              <w:top w:val="nil"/>
              <w:left w:val="nil"/>
              <w:bottom w:val="nil"/>
              <w:right w:val="nil"/>
            </w:tcBorders>
            <w:shd w:val="clear" w:color="auto" w:fill="auto"/>
            <w:vAlign w:val="center"/>
          </w:tcPr>
          <w:p>
            <w:pPr>
              <w:jc w:val="center"/>
              <w:rPr>
                <w:rFonts w:ascii="Times New Roman" w:hAnsi="Times New Roman" w:eastAsia="等线" w:cs="Times New Roman"/>
                <w:color w:val="000000"/>
                <w:sz w:val="22"/>
                <w:szCs w:val="22"/>
              </w:rPr>
            </w:pPr>
            <w:r>
              <w:rPr>
                <w:rFonts w:hint="eastAsia" w:ascii="仿宋" w:hAnsi="仿宋" w:eastAsia="仿宋" w:cs="仿宋"/>
                <w:b/>
                <w:bCs/>
                <w:sz w:val="36"/>
                <w:szCs w:val="36"/>
              </w:rPr>
              <w:t>项目支出绩效自评表</w:t>
            </w:r>
          </w:p>
        </w:tc>
      </w:tr>
      <w:tr>
        <w:tblPrEx>
          <w:tblCellMar>
            <w:top w:w="0" w:type="dxa"/>
            <w:left w:w="108" w:type="dxa"/>
            <w:bottom w:w="0" w:type="dxa"/>
            <w:right w:w="108" w:type="dxa"/>
          </w:tblCellMar>
        </w:tblPrEx>
        <w:trPr>
          <w:trHeight w:val="323" w:hRule="atLeast"/>
        </w:trPr>
        <w:tc>
          <w:tcPr>
            <w:tcW w:w="5000" w:type="pct"/>
            <w:gridSpan w:val="11"/>
            <w:tcBorders>
              <w:top w:val="nil"/>
              <w:left w:val="nil"/>
              <w:bottom w:val="nil"/>
              <w:right w:val="nil"/>
            </w:tcBorders>
            <w:shd w:val="clear" w:color="auto" w:fill="auto"/>
          </w:tcPr>
          <w:p>
            <w:pPr>
              <w:jc w:val="center"/>
              <w:rPr>
                <w:rFonts w:ascii="Times New Roman" w:hAnsi="Times New Roman" w:eastAsia="等线" w:cs="Times New Roman"/>
                <w:color w:val="000000"/>
                <w:sz w:val="22"/>
                <w:szCs w:val="22"/>
              </w:rPr>
            </w:pPr>
            <w:r>
              <w:rPr>
                <w:rStyle w:val="6"/>
                <w:rFonts w:hint="eastAsia" w:ascii="仿宋" w:hAnsi="仿宋" w:eastAsia="仿宋" w:cs="仿宋"/>
                <w:b/>
                <w:bCs/>
                <w:sz w:val="36"/>
                <w:szCs w:val="36"/>
                <w:lang w:bidi="ar"/>
              </w:rPr>
              <w:t>（</w:t>
            </w:r>
            <w:r>
              <w:rPr>
                <w:rStyle w:val="7"/>
                <w:rFonts w:hint="eastAsia" w:ascii="仿宋" w:hAnsi="仿宋" w:eastAsia="仿宋" w:cs="仿宋"/>
                <w:b/>
                <w:bCs/>
                <w:sz w:val="36"/>
                <w:szCs w:val="36"/>
                <w:lang w:bidi="ar"/>
              </w:rPr>
              <w:t>2022</w:t>
            </w:r>
            <w:r>
              <w:rPr>
                <w:rStyle w:val="6"/>
                <w:rFonts w:hint="eastAsia" w:ascii="仿宋" w:hAnsi="仿宋" w:eastAsia="仿宋" w:cs="仿宋"/>
                <w:b/>
                <w:bCs/>
                <w:sz w:val="36"/>
                <w:szCs w:val="36"/>
                <w:lang w:bidi="ar"/>
              </w:rPr>
              <w:t>年度）</w:t>
            </w:r>
            <w:bookmarkStart w:id="0" w:name="_GoBack"/>
            <w:bookmarkEnd w:id="0"/>
          </w:p>
        </w:tc>
      </w:tr>
      <w:tr>
        <w:tblPrEx>
          <w:tblCellMar>
            <w:top w:w="0" w:type="dxa"/>
            <w:left w:w="108" w:type="dxa"/>
            <w:bottom w:w="0" w:type="dxa"/>
            <w:right w:w="108" w:type="dxa"/>
          </w:tblCellMar>
        </w:tblPrEx>
        <w:trPr>
          <w:trHeight w:val="709" w:hRule="atLeast"/>
        </w:trPr>
        <w:tc>
          <w:tcPr>
            <w:tcW w:w="6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438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改善办学保障条件-北京信息科技大学新校区计算机实验室新建（新竣工楼配套）</w:t>
            </w:r>
          </w:p>
        </w:tc>
      </w:tr>
      <w:tr>
        <w:tblPrEx>
          <w:tblCellMar>
            <w:top w:w="0" w:type="dxa"/>
            <w:left w:w="108" w:type="dxa"/>
            <w:bottom w:w="0" w:type="dxa"/>
            <w:right w:w="108" w:type="dxa"/>
          </w:tblCellMar>
        </w:tblPrEx>
        <w:trPr>
          <w:trHeight w:val="709" w:hRule="atLeast"/>
        </w:trPr>
        <w:tc>
          <w:tcPr>
            <w:tcW w:w="6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3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709" w:hRule="atLeast"/>
        </w:trPr>
        <w:tc>
          <w:tcPr>
            <w:tcW w:w="6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梁旭</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3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13842899132</w:t>
            </w:r>
          </w:p>
        </w:tc>
      </w:tr>
      <w:tr>
        <w:tblPrEx>
          <w:tblCellMar>
            <w:top w:w="0" w:type="dxa"/>
            <w:left w:w="108" w:type="dxa"/>
            <w:bottom w:w="0" w:type="dxa"/>
            <w:right w:w="108" w:type="dxa"/>
          </w:tblCellMar>
        </w:tblPrEx>
        <w:trPr>
          <w:trHeight w:val="709" w:hRule="atLeast"/>
        </w:trPr>
        <w:tc>
          <w:tcPr>
            <w:tcW w:w="617"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年初预算数</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全年预算数</w:t>
            </w:r>
          </w:p>
        </w:tc>
        <w:tc>
          <w:tcPr>
            <w:tcW w:w="10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全年执行数</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预算执行率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709" w:hRule="atLeast"/>
        </w:trPr>
        <w:tc>
          <w:tcPr>
            <w:tcW w:w="61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700.000000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700.000000</w:t>
            </w:r>
          </w:p>
        </w:tc>
        <w:tc>
          <w:tcPr>
            <w:tcW w:w="10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700.000000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100%</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r>
      <w:tr>
        <w:tblPrEx>
          <w:tblCellMar>
            <w:top w:w="0" w:type="dxa"/>
            <w:left w:w="108" w:type="dxa"/>
            <w:bottom w:w="0" w:type="dxa"/>
            <w:right w:w="108" w:type="dxa"/>
          </w:tblCellMar>
        </w:tblPrEx>
        <w:trPr>
          <w:trHeight w:val="709" w:hRule="atLeast"/>
        </w:trPr>
        <w:tc>
          <w:tcPr>
            <w:tcW w:w="61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其中：当年财政拨款</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700.000000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700.000000</w:t>
            </w:r>
          </w:p>
        </w:tc>
        <w:tc>
          <w:tcPr>
            <w:tcW w:w="10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700.000000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r>
      <w:tr>
        <w:tblPrEx>
          <w:tblCellMar>
            <w:top w:w="0" w:type="dxa"/>
            <w:left w:w="108" w:type="dxa"/>
            <w:bottom w:w="0" w:type="dxa"/>
            <w:right w:w="108" w:type="dxa"/>
          </w:tblCellMar>
        </w:tblPrEx>
        <w:trPr>
          <w:trHeight w:val="709" w:hRule="atLeast"/>
        </w:trPr>
        <w:tc>
          <w:tcPr>
            <w:tcW w:w="61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0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r>
      <w:tr>
        <w:tblPrEx>
          <w:tblCellMar>
            <w:top w:w="0" w:type="dxa"/>
            <w:left w:w="108" w:type="dxa"/>
            <w:bottom w:w="0" w:type="dxa"/>
            <w:right w:w="108" w:type="dxa"/>
          </w:tblCellMar>
        </w:tblPrEx>
        <w:trPr>
          <w:trHeight w:val="709" w:hRule="atLeast"/>
        </w:trPr>
        <w:tc>
          <w:tcPr>
            <w:tcW w:w="61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0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r>
      <w:tr>
        <w:tblPrEx>
          <w:tblCellMar>
            <w:top w:w="0" w:type="dxa"/>
            <w:left w:w="108" w:type="dxa"/>
            <w:bottom w:w="0" w:type="dxa"/>
            <w:right w:w="108" w:type="dxa"/>
          </w:tblCellMar>
        </w:tblPrEx>
        <w:trPr>
          <w:trHeight w:val="709" w:hRule="atLeast"/>
        </w:trPr>
        <w:tc>
          <w:tcPr>
            <w:tcW w:w="1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19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28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414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956"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本项目是由计算机学院统筹申报的项目，涉及到计算机、信管、经管三个学院的实验室建设，项目的实施，显著提升了三个学院整体教育教学水平和质量。计算机学院搬迁到新校区后承担学校三个年级师生新校区的教学工作，项目的实施，提升了全校信息类基础课的教学水平，加强了信息特色内涵建设。经管、信管两个学院提升了专业课程的实验教学水平。项目培养了高水平信息类应用型创新人才，服务国家战略和北京市高精尖产业发展。</w:t>
            </w:r>
          </w:p>
        </w:tc>
        <w:tc>
          <w:tcPr>
            <w:tcW w:w="2872"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项目总金额2086.69万元，2022年到款700万元，完成以下17间实验室共计700万元设备采购。</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1）计算机学院计算机中心实验室建设</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计算机学院计算机中心5间（70人）二合班实验室、1间（140人）四合班实验室、1间计算中心云平台管理机房；</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2）经济管理学院实验室建设</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实验室1间智造集群、1间智能财务与会计、1间生产过程仿真、1间总控。</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3）信息管理学院实验室建设</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 xml:space="preserve"> 实验室1间三班合一信管实验室、1间两班合一信安实验室、1间两班合一大数据实验室；</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4）计算机学院实验教学中心实验室建设</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实验室1间三合班实验室、1间三合班实验室；除了</w:t>
            </w:r>
            <w:r>
              <w:rPr>
                <w:rFonts w:hint="eastAsia" w:ascii="仿宋_GB2312" w:hAnsi="宋体" w:eastAsia="仿宋_GB2312" w:cs="宋体"/>
                <w:kern w:val="0"/>
                <w:szCs w:val="21"/>
                <w:lang w:eastAsia="zh-CN"/>
              </w:rPr>
              <w:t>建立健全</w:t>
            </w:r>
            <w:r>
              <w:rPr>
                <w:rFonts w:hint="eastAsia" w:ascii="仿宋_GB2312" w:hAnsi="宋体" w:eastAsia="仿宋_GB2312" w:cs="宋体"/>
                <w:kern w:val="0"/>
                <w:szCs w:val="21"/>
              </w:rPr>
              <w:t>相应的计算机应用系统外，配套的其他系统也是不可或缺，为了保障正常的教学使用，包含了桌面虚拟化系统，音频扩声系统，视频显示系统，智能控制系统，课堂管理系统，公共广播系统，其他辅助系统等，</w:t>
            </w:r>
            <w:r>
              <w:rPr>
                <w:rFonts w:hint="eastAsia" w:ascii="仿宋_GB2312" w:hAnsi="宋体" w:eastAsia="仿宋_GB2312" w:cs="宋体"/>
                <w:kern w:val="0"/>
                <w:szCs w:val="21"/>
                <w:lang w:eastAsia="zh-CN"/>
              </w:rPr>
              <w:t>建立健全</w:t>
            </w:r>
            <w:r>
              <w:rPr>
                <w:rFonts w:hint="eastAsia" w:ascii="仿宋_GB2312" w:hAnsi="宋体" w:eastAsia="仿宋_GB2312" w:cs="宋体"/>
                <w:kern w:val="0"/>
                <w:szCs w:val="21"/>
              </w:rPr>
              <w:t>一系列的计算机实验室配套系统。方便用户使用，提高利用率，更好的服务于学校师生。</w:t>
            </w:r>
          </w:p>
        </w:tc>
      </w:tr>
      <w:tr>
        <w:tblPrEx>
          <w:tblCellMar>
            <w:top w:w="0" w:type="dxa"/>
            <w:left w:w="108" w:type="dxa"/>
            <w:bottom w:w="0" w:type="dxa"/>
            <w:right w:w="108" w:type="dxa"/>
          </w:tblCellMar>
        </w:tblPrEx>
        <w:trPr>
          <w:trHeight w:val="612" w:hRule="atLeast"/>
        </w:trPr>
        <w:tc>
          <w:tcPr>
            <w:tcW w:w="172"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绩效指标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指标值</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完成值</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CellMar>
            <w:top w:w="0" w:type="dxa"/>
            <w:left w:w="108" w:type="dxa"/>
            <w:bottom w:w="0" w:type="dxa"/>
            <w:right w:w="108" w:type="dxa"/>
          </w:tblCellMar>
        </w:tblPrEx>
        <w:trPr>
          <w:trHeight w:val="132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出</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建设实验室16间</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16（完成16间实验室700万元设备采购）</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16（完成16间实验室700万元设备采购）</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15</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15</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822"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设备购置符合相关标准和技术规范</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达到国家标准/技术参数</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达到国家标准/技术参数</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7.5</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6.5</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跨年度实施项目，尚未验收</w:t>
            </w:r>
          </w:p>
        </w:tc>
      </w:tr>
      <w:tr>
        <w:tblPrEx>
          <w:tblCellMar>
            <w:top w:w="0" w:type="dxa"/>
            <w:left w:w="108" w:type="dxa"/>
            <w:bottom w:w="0" w:type="dxa"/>
            <w:right w:w="108" w:type="dxa"/>
          </w:tblCellMar>
        </w:tblPrEx>
        <w:trPr>
          <w:trHeight w:val="51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设备验收合格率</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7.5</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6.5</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跨年度实施项目，尚未验收</w:t>
            </w:r>
          </w:p>
        </w:tc>
      </w:tr>
      <w:tr>
        <w:tblPrEx>
          <w:tblCellMar>
            <w:top w:w="0" w:type="dxa"/>
            <w:left w:w="108" w:type="dxa"/>
            <w:bottom w:w="0" w:type="dxa"/>
            <w:right w:w="108" w:type="dxa"/>
          </w:tblCellMar>
        </w:tblPrEx>
        <w:trPr>
          <w:trHeight w:val="762"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完成招标时间</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2022年5月底完成</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2022年12月完成</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受疫情因素影响，项目招采时间有所延期，后期将加快进度</w:t>
            </w:r>
          </w:p>
        </w:tc>
      </w:tr>
      <w:tr>
        <w:tblPrEx>
          <w:tblCellMar>
            <w:top w:w="0" w:type="dxa"/>
            <w:left w:w="108" w:type="dxa"/>
            <w:bottom w:w="0" w:type="dxa"/>
            <w:right w:w="108" w:type="dxa"/>
          </w:tblCellMar>
        </w:tblPrEx>
        <w:trPr>
          <w:trHeight w:val="84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完成付款时间</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2022年12月31日前支付</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2022年12月支付</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1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年项目预算控制数</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700万元</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700万元</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702"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益</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经济效益指标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实验室实现复用，机房可支持实践课程教学，学科竞赛，社团活动等多种功能</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使用率达到85％以上</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已完成</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4.2</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跨年度实施项目，指标效益尚未充分发挥</w:t>
            </w:r>
          </w:p>
        </w:tc>
      </w:tr>
      <w:tr>
        <w:tblPrEx>
          <w:tblCellMar>
            <w:top w:w="0" w:type="dxa"/>
            <w:left w:w="108" w:type="dxa"/>
            <w:bottom w:w="0" w:type="dxa"/>
            <w:right w:w="108" w:type="dxa"/>
          </w:tblCellMar>
        </w:tblPrEx>
        <w:trPr>
          <w:trHeight w:val="1062"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有效避免重复建设，节约建设资金，我院对所建实验室产品品牌和口碑进行综合考虑，所选产品市场占有率高，稳定性强，技术架构较先进，短期内技术不会落后，节约有限的建设经费</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重复建设率0％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重复建设率0％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4.2</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跨年度实施项目，指标效益尚未充分发挥</w:t>
            </w:r>
          </w:p>
        </w:tc>
      </w:tr>
      <w:tr>
        <w:tblPrEx>
          <w:tblCellMar>
            <w:top w:w="0" w:type="dxa"/>
            <w:left w:w="108" w:type="dxa"/>
            <w:bottom w:w="0" w:type="dxa"/>
            <w:right w:w="108" w:type="dxa"/>
          </w:tblCellMar>
        </w:tblPrEx>
        <w:trPr>
          <w:trHeight w:val="108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服务学生</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全校计算机类基础课</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全校计算机类基础课</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1.4</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跨年度实施项目，指标效益尚未充分发挥</w:t>
            </w:r>
          </w:p>
        </w:tc>
      </w:tr>
      <w:tr>
        <w:tblPrEx>
          <w:tblCellMar>
            <w:top w:w="0" w:type="dxa"/>
            <w:left w:w="108" w:type="dxa"/>
            <w:bottom w:w="0" w:type="dxa"/>
            <w:right w:w="108" w:type="dxa"/>
          </w:tblCellMar>
        </w:tblPrEx>
        <w:trPr>
          <w:trHeight w:val="78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服务课程教学</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全校计算机类基础课</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全校计算机类基础课</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1.4</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跨年度实施项目，指标效益尚未充分发挥</w:t>
            </w:r>
          </w:p>
        </w:tc>
      </w:tr>
      <w:tr>
        <w:tblPrEx>
          <w:tblCellMar>
            <w:top w:w="0" w:type="dxa"/>
            <w:left w:w="108" w:type="dxa"/>
            <w:bottom w:w="0" w:type="dxa"/>
            <w:right w:w="108" w:type="dxa"/>
          </w:tblCellMar>
        </w:tblPrEx>
        <w:trPr>
          <w:trHeight w:val="78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通过此项目的实施，营造良好的实践教学生态环境，培养更多的高素质综合型人才，带动就业增长率，向社会输出更多有用的人才，全年可为全校师生服务</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覆盖学院实验课程</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覆盖学院实验课程</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1.4</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跨年度实施项目，指标效益尚未充分发挥</w:t>
            </w:r>
          </w:p>
        </w:tc>
      </w:tr>
      <w:tr>
        <w:tblPrEx>
          <w:tblCellMar>
            <w:top w:w="0" w:type="dxa"/>
            <w:left w:w="108" w:type="dxa"/>
            <w:bottom w:w="0" w:type="dxa"/>
            <w:right w:w="108" w:type="dxa"/>
          </w:tblCellMar>
        </w:tblPrEx>
        <w:trPr>
          <w:trHeight w:val="2760"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生态效益指标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环境效益</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本项目采购的设备采用了节能技术和环保设计，不含多重有害物质；满足国家节能、环保要求。</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本项目采购的设备采用了节能技术和环保设计，不含多重有害物质；满足国家节能、环保要求。</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4.2</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跨年度实施项目，指标效益尚未充分发挥</w:t>
            </w:r>
          </w:p>
        </w:tc>
      </w:tr>
      <w:tr>
        <w:tblPrEx>
          <w:tblCellMar>
            <w:top w:w="0" w:type="dxa"/>
            <w:left w:w="108" w:type="dxa"/>
            <w:bottom w:w="0" w:type="dxa"/>
            <w:right w:w="108" w:type="dxa"/>
          </w:tblCellMar>
        </w:tblPrEx>
        <w:trPr>
          <w:trHeight w:val="1219"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所建设实验室可用多年，持续发挥作用的时间较长，影响较大。</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6年以上</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项目全部到款并执行后预计达到6年以上</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4.2</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跨年度实施项目，指标效益尚未充分发挥</w:t>
            </w:r>
          </w:p>
        </w:tc>
      </w:tr>
      <w:tr>
        <w:tblPrEx>
          <w:tblCellMar>
            <w:top w:w="0" w:type="dxa"/>
            <w:left w:w="108" w:type="dxa"/>
            <w:bottom w:w="0" w:type="dxa"/>
            <w:right w:w="108" w:type="dxa"/>
          </w:tblCellMar>
        </w:tblPrEx>
        <w:trPr>
          <w:trHeight w:val="1879"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满意度指标</w:t>
            </w: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学生满意度</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&gt;95%</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项目全部到款并执行后进行满意度调研（2022年到款700万）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项目跨年度实施，待竣工验收，再做满意度调</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查</w:t>
            </w:r>
          </w:p>
        </w:tc>
      </w:tr>
      <w:tr>
        <w:tblPrEx>
          <w:tblCellMar>
            <w:top w:w="0" w:type="dxa"/>
            <w:left w:w="108" w:type="dxa"/>
            <w:bottom w:w="0" w:type="dxa"/>
            <w:right w:w="108" w:type="dxa"/>
          </w:tblCellMar>
        </w:tblPrEx>
        <w:trPr>
          <w:trHeight w:val="1699" w:hRule="atLeast"/>
        </w:trPr>
        <w:tc>
          <w:tcPr>
            <w:tcW w:w="172"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5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教师满意度</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&gt;95%</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项目全部到款并执行后进行满意度调研（2022年到款700万）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项目跨年度实施，待竣工验收，再做满意度调</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查</w:t>
            </w:r>
          </w:p>
        </w:tc>
      </w:tr>
      <w:tr>
        <w:tblPrEx>
          <w:tblCellMar>
            <w:top w:w="0" w:type="dxa"/>
            <w:left w:w="108" w:type="dxa"/>
            <w:bottom w:w="0" w:type="dxa"/>
            <w:right w:w="108" w:type="dxa"/>
          </w:tblCellMar>
        </w:tblPrEx>
        <w:trPr>
          <w:trHeight w:val="390" w:hRule="atLeast"/>
        </w:trPr>
        <w:tc>
          <w:tcPr>
            <w:tcW w:w="320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总分</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86.00 </w:t>
            </w:r>
          </w:p>
        </w:tc>
        <w:tc>
          <w:tcPr>
            <w:tcW w:w="10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r>
    </w:tbl>
    <w:p>
      <w:pPr>
        <w:widowControl/>
        <w:spacing w:line="240" w:lineRule="exact"/>
        <w:jc w:val="center"/>
        <w:rPr>
          <w:rFonts w:ascii="仿宋_GB2312" w:hAnsi="宋体" w:eastAsia="仿宋_GB2312" w:cs="宋体"/>
          <w:kern w:val="0"/>
          <w:szCs w:val="21"/>
        </w:rPr>
      </w:pPr>
    </w:p>
    <w:sectPr>
      <w:headerReference r:id="rId3" w:type="default"/>
      <w:footerReference r:id="rId4" w:type="default"/>
      <w:pgSz w:w="16838" w:h="11906" w:orient="landscape"/>
      <w:pgMar w:top="1800" w:right="1803" w:bottom="180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tab w:relativeTo="margin" w:alignment="center"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OWQyYzlhZTQ3M2E2YmI3ODIyYmE2NzBkYjQ3MTkifQ=="/>
  </w:docVars>
  <w:rsids>
    <w:rsidRoot w:val="003C1988"/>
    <w:rsid w:val="000B51C5"/>
    <w:rsid w:val="000E655A"/>
    <w:rsid w:val="0033520B"/>
    <w:rsid w:val="003C1988"/>
    <w:rsid w:val="005437BD"/>
    <w:rsid w:val="005926F0"/>
    <w:rsid w:val="0082011D"/>
    <w:rsid w:val="008C1B1E"/>
    <w:rsid w:val="00AC7AFA"/>
    <w:rsid w:val="09315132"/>
    <w:rsid w:val="251E56B8"/>
    <w:rsid w:val="33732134"/>
    <w:rsid w:val="3F5C6BBD"/>
    <w:rsid w:val="467A5248"/>
    <w:rsid w:val="46C750A8"/>
    <w:rsid w:val="486D3DE8"/>
    <w:rsid w:val="55430C09"/>
    <w:rsid w:val="5B186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131"/>
    <w:basedOn w:val="5"/>
    <w:qFormat/>
    <w:uiPriority w:val="0"/>
    <w:rPr>
      <w:rFonts w:ascii="仿宋_GB2312" w:eastAsia="仿宋_GB2312" w:cs="仿宋_GB2312"/>
      <w:color w:val="000000"/>
      <w:sz w:val="22"/>
      <w:szCs w:val="22"/>
      <w:u w:val="none"/>
    </w:rPr>
  </w:style>
  <w:style w:type="character" w:customStyle="1" w:styleId="7">
    <w:name w:val="font31"/>
    <w:basedOn w:val="5"/>
    <w:qFormat/>
    <w:uiPriority w:val="0"/>
    <w:rPr>
      <w:rFonts w:hint="default" w:ascii="Times New Roman" w:hAnsi="Times New Roman" w:cs="Times New Roman"/>
      <w:color w:val="000000"/>
      <w:sz w:val="22"/>
      <w:szCs w:val="22"/>
      <w:u w:val="none"/>
    </w:rPr>
  </w:style>
  <w:style w:type="character" w:customStyle="1" w:styleId="8">
    <w:name w:val="font71"/>
    <w:basedOn w:val="5"/>
    <w:qFormat/>
    <w:uiPriority w:val="0"/>
    <w:rPr>
      <w:rFonts w:hint="eastAsia" w:ascii="宋体" w:hAnsi="宋体" w:eastAsia="宋体" w:cs="宋体"/>
      <w:color w:val="000000"/>
      <w:sz w:val="20"/>
      <w:szCs w:val="20"/>
      <w:u w:val="none"/>
    </w:rPr>
  </w:style>
  <w:style w:type="character" w:customStyle="1" w:styleId="9">
    <w:name w:val="font121"/>
    <w:basedOn w:val="5"/>
    <w:qFormat/>
    <w:uiPriority w:val="0"/>
    <w:rPr>
      <w:rFonts w:hint="default" w:ascii="Times New Roman" w:hAnsi="Times New Roman" w:cs="Times New Roman"/>
      <w:color w:val="000000"/>
      <w:sz w:val="20"/>
      <w:szCs w:val="20"/>
      <w:u w:val="none"/>
    </w:rPr>
  </w:style>
  <w:style w:type="character" w:customStyle="1" w:styleId="10">
    <w:name w:val="font41"/>
    <w:basedOn w:val="5"/>
    <w:qFormat/>
    <w:uiPriority w:val="0"/>
    <w:rPr>
      <w:rFonts w:hint="default" w:ascii="Times New Roman" w:hAnsi="Times New Roman" w:cs="Times New Roman"/>
      <w:color w:val="000000"/>
      <w:sz w:val="20"/>
      <w:szCs w:val="20"/>
      <w:u w:val="none"/>
    </w:rPr>
  </w:style>
  <w:style w:type="character" w:customStyle="1" w:styleId="11">
    <w:name w:val="font61"/>
    <w:basedOn w:val="5"/>
    <w:qFormat/>
    <w:uiPriority w:val="0"/>
    <w:rPr>
      <w:rFonts w:hint="default" w:ascii="Times New Roman" w:hAnsi="Times New Roman" w:cs="Times New Roman"/>
      <w:color w:val="000000"/>
      <w:sz w:val="18"/>
      <w:szCs w:val="18"/>
      <w:u w:val="none"/>
    </w:rPr>
  </w:style>
  <w:style w:type="character" w:customStyle="1" w:styleId="12">
    <w:name w:val="font101"/>
    <w:basedOn w:val="5"/>
    <w:qFormat/>
    <w:uiPriority w:val="0"/>
    <w:rPr>
      <w:rFonts w:hint="eastAsia" w:ascii="宋体" w:hAnsi="宋体" w:eastAsia="宋体" w:cs="宋体"/>
      <w:color w:val="000000"/>
      <w:sz w:val="20"/>
      <w:szCs w:val="20"/>
      <w:u w:val="none"/>
    </w:rPr>
  </w:style>
  <w:style w:type="character" w:customStyle="1" w:styleId="13">
    <w:name w:val="font91"/>
    <w:basedOn w:val="5"/>
    <w:qFormat/>
    <w:uiPriority w:val="0"/>
    <w:rPr>
      <w:rFonts w:hint="eastAsia" w:ascii="宋体" w:hAnsi="宋体" w:eastAsia="宋体" w:cs="宋体"/>
      <w:color w:val="000000"/>
      <w:sz w:val="20"/>
      <w:szCs w:val="20"/>
      <w:u w:val="none"/>
    </w:rPr>
  </w:style>
  <w:style w:type="character" w:customStyle="1" w:styleId="14">
    <w:name w:val="font0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322</Words>
  <Characters>1842</Characters>
  <Lines>15</Lines>
  <Paragraphs>4</Paragraphs>
  <TotalTime>4</TotalTime>
  <ScaleCrop>false</ScaleCrop>
  <LinksUpToDate>false</LinksUpToDate>
  <CharactersWithSpaces>2160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苏坡云☁️</cp:lastModifiedBy>
  <dcterms:modified xsi:type="dcterms:W3CDTF">2023-11-30T09:04:08Z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47D8D6953FE94A9C9B4EAFEA513BD267_12</vt:lpwstr>
  </property>
</Properties>
</file>