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467"/>
        <w:gridCol w:w="739"/>
        <w:gridCol w:w="720"/>
        <w:gridCol w:w="1585"/>
        <w:gridCol w:w="1587"/>
        <w:gridCol w:w="1364"/>
        <w:gridCol w:w="1758"/>
        <w:gridCol w:w="1945"/>
        <w:gridCol w:w="1009"/>
        <w:gridCol w:w="1551"/>
        <w:gridCol w:w="1449"/>
      </w:tblGrid>
      <w:tr>
        <w:tblPrEx>
          <w:tblCellMar>
            <w:top w:w="0" w:type="dxa"/>
            <w:left w:w="108" w:type="dxa"/>
            <w:bottom w:w="0" w:type="dxa"/>
            <w:right w:w="108" w:type="dxa"/>
          </w:tblCellMar>
        </w:tblPrEx>
        <w:trPr>
          <w:trHeight w:val="600" w:hRule="atLeast"/>
        </w:trPr>
        <w:tc>
          <w:tcPr>
            <w:tcW w:w="5000" w:type="pct"/>
            <w:gridSpan w:val="11"/>
            <w:tcBorders>
              <w:top w:val="nil"/>
              <w:left w:val="nil"/>
              <w:bottom w:val="nil"/>
              <w:right w:val="nil"/>
            </w:tcBorders>
            <w:shd w:val="clear" w:color="auto" w:fill="auto"/>
            <w:vAlign w:val="center"/>
          </w:tcPr>
          <w:p>
            <w:pPr>
              <w:widowControl/>
              <w:jc w:val="center"/>
              <w:textAlignment w:val="center"/>
              <w:rPr>
                <w:rFonts w:ascii="仿宋" w:hAnsi="仿宋" w:eastAsia="仿宋" w:cs="仿宋"/>
                <w:b/>
                <w:bCs/>
                <w:color w:val="000000"/>
                <w:sz w:val="36"/>
                <w:szCs w:val="36"/>
              </w:rPr>
            </w:pPr>
            <w:r>
              <w:rPr>
                <w:rFonts w:hint="eastAsia" w:ascii="仿宋" w:hAnsi="仿宋" w:eastAsia="仿宋" w:cs="仿宋"/>
                <w:b/>
                <w:bCs/>
                <w:sz w:val="36"/>
                <w:szCs w:val="36"/>
              </w:rPr>
              <w:t>项目支出绩效自评表</w:t>
            </w:r>
            <w:bookmarkStart w:id="0" w:name="_GoBack"/>
            <w:bookmarkEnd w:id="0"/>
          </w:p>
        </w:tc>
      </w:tr>
      <w:tr>
        <w:tblPrEx>
          <w:tblCellMar>
            <w:top w:w="0" w:type="dxa"/>
            <w:left w:w="108" w:type="dxa"/>
            <w:bottom w:w="0" w:type="dxa"/>
            <w:right w:w="108" w:type="dxa"/>
          </w:tblCellMar>
        </w:tblPrEx>
        <w:trPr>
          <w:trHeight w:val="323" w:hRule="atLeast"/>
        </w:trPr>
        <w:tc>
          <w:tcPr>
            <w:tcW w:w="5000" w:type="pct"/>
            <w:gridSpan w:val="11"/>
            <w:tcBorders>
              <w:top w:val="nil"/>
              <w:left w:val="nil"/>
              <w:bottom w:val="single" w:color="000000" w:sz="4" w:space="0"/>
              <w:right w:val="nil"/>
            </w:tcBorders>
            <w:shd w:val="clear" w:color="auto" w:fill="auto"/>
          </w:tcPr>
          <w:p>
            <w:pPr>
              <w:widowControl/>
              <w:jc w:val="center"/>
              <w:textAlignment w:val="top"/>
              <w:rPr>
                <w:rFonts w:ascii="仿宋" w:hAnsi="仿宋" w:eastAsia="仿宋" w:cs="仿宋"/>
                <w:b/>
                <w:bCs/>
                <w:color w:val="000000"/>
                <w:sz w:val="36"/>
                <w:szCs w:val="36"/>
              </w:rPr>
            </w:pPr>
            <w:r>
              <w:rPr>
                <w:rFonts w:hint="eastAsia" w:ascii="仿宋" w:hAnsi="仿宋" w:eastAsia="仿宋" w:cs="仿宋"/>
                <w:b/>
                <w:bCs/>
                <w:sz w:val="36"/>
                <w:szCs w:val="36"/>
              </w:rPr>
              <w:t>（2022年度）</w:t>
            </w:r>
          </w:p>
        </w:tc>
      </w:tr>
      <w:tr>
        <w:tblPrEx>
          <w:tblCellMar>
            <w:top w:w="0" w:type="dxa"/>
            <w:left w:w="108" w:type="dxa"/>
            <w:bottom w:w="0" w:type="dxa"/>
            <w:right w:w="108" w:type="dxa"/>
          </w:tblCellMar>
        </w:tblPrEx>
        <w:trPr>
          <w:trHeight w:val="680" w:hRule="atLeast"/>
        </w:trPr>
        <w:tc>
          <w:tcPr>
            <w:tcW w:w="68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431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改善办学保障条件—北京信息科技大学新校区一组团教室智慧教学应用系统建设（新竣工楼配套）</w:t>
            </w:r>
          </w:p>
        </w:tc>
      </w:tr>
      <w:tr>
        <w:tblPrEx>
          <w:tblCellMar>
            <w:top w:w="0" w:type="dxa"/>
            <w:left w:w="108" w:type="dxa"/>
            <w:bottom w:w="0" w:type="dxa"/>
            <w:right w:w="108" w:type="dxa"/>
          </w:tblCellMar>
        </w:tblPrEx>
        <w:trPr>
          <w:trHeight w:val="680" w:hRule="atLeast"/>
        </w:trPr>
        <w:tc>
          <w:tcPr>
            <w:tcW w:w="68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09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680" w:hRule="atLeast"/>
        </w:trPr>
        <w:tc>
          <w:tcPr>
            <w:tcW w:w="68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伍银</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09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81087780</w:t>
            </w:r>
          </w:p>
        </w:tc>
      </w:tr>
      <w:tr>
        <w:tblPrEx>
          <w:tblCellMar>
            <w:top w:w="0" w:type="dxa"/>
            <w:left w:w="108" w:type="dxa"/>
            <w:bottom w:w="0" w:type="dxa"/>
            <w:right w:w="108" w:type="dxa"/>
          </w:tblCellMar>
        </w:tblPrEx>
        <w:trPr>
          <w:trHeight w:val="680" w:hRule="atLeast"/>
        </w:trPr>
        <w:tc>
          <w:tcPr>
            <w:tcW w:w="68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（万元）</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年初预算数</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全年预算数</w:t>
            </w:r>
          </w:p>
        </w:tc>
        <w:tc>
          <w:tcPr>
            <w:tcW w:w="13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预算执行率</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680" w:hRule="atLeast"/>
        </w:trPr>
        <w:tc>
          <w:tcPr>
            <w:tcW w:w="68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793.220000</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793.220000</w:t>
            </w:r>
          </w:p>
        </w:tc>
        <w:tc>
          <w:tcPr>
            <w:tcW w:w="13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783.455000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9</w:t>
            </w:r>
            <w:r>
              <w:rPr>
                <w:rFonts w:hint="eastAsia" w:ascii="仿宋_GB2312" w:hAnsi="宋体" w:eastAsia="仿宋_GB2312" w:cs="宋体"/>
                <w:kern w:val="0"/>
                <w:szCs w:val="21"/>
              </w:rPr>
              <w:t>8.77</w:t>
            </w:r>
            <w:r>
              <w:rPr>
                <w:rFonts w:ascii="仿宋_GB2312" w:hAnsi="宋体" w:eastAsia="仿宋_GB2312" w:cs="宋体"/>
                <w:kern w:val="0"/>
                <w:szCs w:val="21"/>
              </w:rPr>
              <w:t>%</w:t>
            </w: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9.88</w:t>
            </w:r>
          </w:p>
        </w:tc>
      </w:tr>
      <w:tr>
        <w:tblPrEx>
          <w:tblCellMar>
            <w:top w:w="0" w:type="dxa"/>
            <w:left w:w="108" w:type="dxa"/>
            <w:bottom w:w="0" w:type="dxa"/>
            <w:right w:w="108" w:type="dxa"/>
          </w:tblCellMar>
        </w:tblPrEx>
        <w:trPr>
          <w:trHeight w:val="680" w:hRule="atLeast"/>
        </w:trPr>
        <w:tc>
          <w:tcPr>
            <w:tcW w:w="68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793.220000</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793.220000</w:t>
            </w:r>
          </w:p>
        </w:tc>
        <w:tc>
          <w:tcPr>
            <w:tcW w:w="13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783.455000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680" w:hRule="atLeast"/>
        </w:trPr>
        <w:tc>
          <w:tcPr>
            <w:tcW w:w="68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3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680" w:hRule="atLeast"/>
        </w:trPr>
        <w:tc>
          <w:tcPr>
            <w:tcW w:w="68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3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356" w:type="pct"/>
            <w:tcBorders>
              <w:top w:val="single" w:color="000000" w:sz="4" w:space="0"/>
              <w:left w:val="nil"/>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680" w:hRule="atLeast"/>
        </w:trPr>
        <w:tc>
          <w:tcPr>
            <w:tcW w:w="1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21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27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5262"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115"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2021-2022年度目标：我校沙河新校区建设，按照建设一流大学和一流学科的标准，打造具有国际标准、世界眼光、北京特色的高等院校。沙河校区共建设三个教学组团，一组团的教学楼在2019年7月已完成封顶，2021年5月底完成工程验收，具备教学系统与设备的安装条件；2021年度的财政预算，是完成其中一组团包括基础楼、人文楼、理学院楼三个教学楼内75间教室建设，确保2021年新生入学可正常教学。教学楼的智慧教学应用系统为我校新校区教学活动提供基础条件，最终目标是服务于全校师生，以智慧化的教学环境为基础，以教育改革为目标，以开放接口为标准，构筑可持续发展的教学空间，将大大丰富我校教学资源建设和现代化的教学手段。沙河校区智慧教学应用系统规划时，依据《中国教育现代化2035》中提出的“加快信息化时代教育变革，建设智能化校园，统筹建设一体化智能化教学、管理与服务平台”的方针，利用现代技术加快推动人才培养模式改革，实现规模化教育与个性化培养的有机结合。同时以《教育信息化2.0行动计划》中提出的“到2022年基本实现三全两高一大”的发展目标，即教学应用覆盖全体教师、学习应用覆盖全体学生、数字校园建设覆盖全体学校，建成“互联网+教育”大平台，推动从教育专用资源向教育大资源转变、从融合应用向创新发展转变，努力构建“互联网+”条件下的人才培养新模式、发展基于互联网的教育服务新模式、探索信息时代教育治理新模式。通过沙河校区智慧教学应用系统项目的应用，为2021年学生入驻新校区打下必要的基础。同时以创新的教学方式，加快实现更高水平的教学发展目标，使我校全校师生受益。</w:t>
            </w:r>
          </w:p>
        </w:tc>
        <w:tc>
          <w:tcPr>
            <w:tcW w:w="2719"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投影、LED显示屏、工作站、服务器、教室互动系统 及智慧互动教学相关设备已全部到位并验收，已执行完毕；装修工程项目施工已完成，因疫情防控影响，系统验收延期至2023年3月。超大教室显示 系统及专业教室相关设备也已经全部到位，因受疫情防控影响，系统终验延期至2023年4月完成验收并投入使用。</w:t>
            </w:r>
          </w:p>
        </w:tc>
      </w:tr>
      <w:tr>
        <w:tblPrEx>
          <w:tblCellMar>
            <w:top w:w="0" w:type="dxa"/>
            <w:left w:w="108" w:type="dxa"/>
            <w:bottom w:w="0" w:type="dxa"/>
            <w:right w:w="108" w:type="dxa"/>
          </w:tblCellMar>
        </w:tblPrEx>
        <w:trPr>
          <w:trHeight w:val="799" w:hRule="atLeast"/>
        </w:trPr>
        <w:tc>
          <w:tcPr>
            <w:tcW w:w="165"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绩效指标</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234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产</w:t>
            </w:r>
          </w:p>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出</w:t>
            </w:r>
          </w:p>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指</w:t>
            </w:r>
          </w:p>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标</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75间多媒体教室</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文理3个教学楼，共75间多媒体教室，实现利用电子班牌显示教室排课信息；多媒体教室互动教学所需要的分组研讨教师机和学生机及互动教学主机，为教室互动的实现提供硬件支撑。</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文理3个教学楼，共75间多媒体教室，实现利用电子班牌显示教室排课信息；多媒体教室互动教学所需要的分组研讨教师机和学生机及互动教学主机，为教室互动的实现提供硬件支撑。</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062"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1间专业录播教室</w:t>
            </w:r>
          </w:p>
        </w:tc>
        <w:tc>
          <w:tcPr>
            <w:tcW w:w="62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实现5机位专业录播提供摄像机入超高清非编系统等硬件支撑。</w:t>
            </w:r>
          </w:p>
        </w:tc>
        <w:tc>
          <w:tcPr>
            <w:tcW w:w="6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实现5机位专业录播提供摄像机入超高清非编系统等硬件支撑。</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4</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因疫情防控影响，验收延期至2023年4月，后续将加强统筹管理</w:t>
            </w:r>
          </w:p>
        </w:tc>
      </w:tr>
      <w:tr>
        <w:tblPrEx>
          <w:tblCellMar>
            <w:top w:w="0" w:type="dxa"/>
            <w:left w:w="108" w:type="dxa"/>
            <w:bottom w:w="0" w:type="dxa"/>
            <w:right w:w="108" w:type="dxa"/>
          </w:tblCellMar>
        </w:tblPrEx>
        <w:trPr>
          <w:trHeight w:val="127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 xml:space="preserve">2间超大教室显示系统 </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实现1间超大教室使用LED屏显示，1间超大教室采用投影融合加弧形幕显示。</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实现1间超大教室使用LED屏显示，1间超大教室采用投影融合加弧形幕显示。</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4</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因疫情防控影响，验收延期至2023年4月，后续将加强统筹管理</w:t>
            </w:r>
          </w:p>
        </w:tc>
      </w:tr>
      <w:tr>
        <w:tblPrEx>
          <w:tblCellMar>
            <w:top w:w="0" w:type="dxa"/>
            <w:left w:w="108" w:type="dxa"/>
            <w:bottom w:w="0" w:type="dxa"/>
            <w:right w:w="108" w:type="dxa"/>
          </w:tblCellMar>
        </w:tblPrEx>
        <w:trPr>
          <w:trHeight w:val="51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系统验收合格率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1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系统正常运行率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1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故障排除率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062"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第一阶段</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2022年1-2月 调研、编写项目技术需求书</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2022年1-2月 调研、编写项目技术需求书</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61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第二阶段</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2022年3-5月  项目招标工作</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2022年8-10月 项目招标工作</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受经费下达时间较晚，后续将加强统筹管理</w:t>
            </w:r>
          </w:p>
        </w:tc>
      </w:tr>
      <w:tr>
        <w:tblPrEx>
          <w:tblCellMar>
            <w:top w:w="0" w:type="dxa"/>
            <w:left w:w="108" w:type="dxa"/>
            <w:bottom w:w="0" w:type="dxa"/>
            <w:right w:w="108" w:type="dxa"/>
          </w:tblCellMar>
        </w:tblPrEx>
        <w:trPr>
          <w:trHeight w:val="55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第三阶段</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2022年6-8月 项目实施和调试工作</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2022年9月-2022年12月</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受经费下达时间较晚，后续将加强统筹管理</w:t>
            </w:r>
          </w:p>
        </w:tc>
      </w:tr>
      <w:tr>
        <w:tblPrEx>
          <w:tblCellMar>
            <w:top w:w="0" w:type="dxa"/>
            <w:left w:w="108" w:type="dxa"/>
            <w:bottom w:w="0" w:type="dxa"/>
            <w:right w:w="108" w:type="dxa"/>
          </w:tblCellMar>
        </w:tblPrEx>
        <w:trPr>
          <w:trHeight w:val="55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第四阶段</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2022年9-10月 项目试运行</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2022年9月-2023年3月</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受经费下达时间较晚，后续将加强统筹管理</w:t>
            </w:r>
          </w:p>
        </w:tc>
      </w:tr>
      <w:tr>
        <w:tblPrEx>
          <w:tblCellMar>
            <w:top w:w="0" w:type="dxa"/>
            <w:left w:w="108" w:type="dxa"/>
            <w:bottom w:w="0" w:type="dxa"/>
            <w:right w:w="108" w:type="dxa"/>
          </w:tblCellMar>
        </w:tblPrEx>
        <w:trPr>
          <w:trHeight w:val="54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第五阶段</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2022年11-12月 项目验收</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2022年10月-2023年4月验收</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1.5</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受经费下达时间较晚，后续将加强统筹管理</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投影机</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50.66万元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50.6万元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显示器加工作站</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19.7825万元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19.7325万元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服务器加一体机</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25.34万元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24.98万元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LED显示屏</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113.7985万元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113.7万元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智慧互动教学分包</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421.682万</w:t>
            </w:r>
            <w:r>
              <w:rPr>
                <w:rFonts w:hint="eastAsia" w:ascii="仿宋_GB2312" w:hAnsi="宋体" w:eastAsia="仿宋_GB2312" w:cs="宋体"/>
                <w:kern w:val="0"/>
                <w:szCs w:val="21"/>
              </w:rPr>
              <w:t>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420.548万</w:t>
            </w:r>
            <w:r>
              <w:rPr>
                <w:rFonts w:hint="eastAsia" w:ascii="仿宋_GB2312" w:hAnsi="宋体" w:eastAsia="仿宋_GB2312" w:cs="宋体"/>
                <w:kern w:val="0"/>
                <w:szCs w:val="21"/>
              </w:rPr>
              <w:t>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专业教室建设分包</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155.3789万</w:t>
            </w:r>
            <w:r>
              <w:rPr>
                <w:rFonts w:hint="eastAsia" w:ascii="仿宋_GB2312" w:hAnsi="宋体" w:eastAsia="仿宋_GB2312" w:cs="宋体"/>
                <w:kern w:val="0"/>
                <w:szCs w:val="21"/>
              </w:rPr>
              <w:t>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153.968万</w:t>
            </w:r>
            <w:r>
              <w:rPr>
                <w:rFonts w:hint="eastAsia" w:ascii="仿宋_GB2312" w:hAnsi="宋体" w:eastAsia="仿宋_GB2312" w:cs="宋体"/>
                <w:kern w:val="0"/>
                <w:szCs w:val="21"/>
              </w:rPr>
              <w:t>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649"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装修工程项目</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10.028928万元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2</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0</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因疫情影响施工，所以未验收支付，后续将严格执行合同条款</w:t>
            </w:r>
          </w:p>
        </w:tc>
      </w:tr>
      <w:tr>
        <w:tblPrEx>
          <w:tblCellMar>
            <w:top w:w="0" w:type="dxa"/>
            <w:left w:w="108" w:type="dxa"/>
            <w:bottom w:w="0" w:type="dxa"/>
            <w:right w:w="108" w:type="dxa"/>
          </w:tblCellMar>
        </w:tblPrEx>
        <w:trPr>
          <w:trHeight w:val="312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社会效益指标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通过项目实施，构建一个立体式智慧教学空间，拓展教学场所的时间和空间维度，提升传统教室的教学效率，全方位扩展传统教室的功能，为学校构建一个全新、智能化、协同式教学的智慧教学应用平台。改善教师教学环境，构建立体式智慧教学空间。</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构建一个立体式智慧教学空间，拓展教学场所的时间和空间维度，提升传统教室的教学效率，全方位扩展传统教室的功能，为学校构建一个全新、智能化、协同式教学的智慧教学应用平台。改善教师教学环境，构建立体式智慧教学空间。</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构建一个立体式智慧教学空间，拓展教学场所的时间和空间维度，提升传统教室的教学效率，全方位扩展传统教室的功能，为学校构建一个全新、智能化、协同式教学的智慧教学应用平台。改善教师教学环境，构建立体式智慧教学空间。</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8</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指标不够明确，可评价性较弱，后续将科学、合理设置指标</w:t>
            </w:r>
          </w:p>
        </w:tc>
      </w:tr>
      <w:tr>
        <w:tblPrEx>
          <w:tblCellMar>
            <w:top w:w="0" w:type="dxa"/>
            <w:left w:w="108" w:type="dxa"/>
            <w:bottom w:w="0" w:type="dxa"/>
            <w:right w:w="108" w:type="dxa"/>
          </w:tblCellMar>
        </w:tblPrEx>
        <w:trPr>
          <w:trHeight w:val="162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通过项目实施，为学生入驻新校区打下必要的基础，为完成北京市政府对我校非首都功能疏解的任务提供支撑。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为学生入驻新校区打下必要的基础，为完成北京市政府对我校非首都功能疏解的任务提供支撑。</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为学生入驻新校区打下必要的基础，为完成北京市政府对我校非首都功能疏解的任务提供支撑。</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8</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指标不够明确，可评价性较弱，后续将科学、合理设置指标</w:t>
            </w:r>
          </w:p>
        </w:tc>
      </w:tr>
      <w:tr>
        <w:tblPrEx>
          <w:tblCellMar>
            <w:top w:w="0" w:type="dxa"/>
            <w:left w:w="108" w:type="dxa"/>
            <w:bottom w:w="0" w:type="dxa"/>
            <w:right w:w="108" w:type="dxa"/>
          </w:tblCellMar>
        </w:tblPrEx>
        <w:trPr>
          <w:trHeight w:val="1800"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通过项目实施，改进育人环境，为学生创造出更优秀的学习环境，提高学生及家长对高等教育的满意度。为首都就业环境提供所需求</w:t>
            </w:r>
            <w:r>
              <w:rPr>
                <w:rFonts w:hint="eastAsia" w:ascii="仿宋_GB2312" w:hAnsi="宋体" w:eastAsia="仿宋_GB2312" w:cs="宋体"/>
                <w:kern w:val="0"/>
                <w:szCs w:val="21"/>
                <w:lang w:eastAsia="zh-CN"/>
              </w:rPr>
              <w:t>的</w:t>
            </w:r>
            <w:r>
              <w:rPr>
                <w:rFonts w:hint="eastAsia" w:ascii="仿宋_GB2312" w:hAnsi="宋体" w:eastAsia="仿宋_GB2312" w:cs="宋体"/>
                <w:kern w:val="0"/>
                <w:szCs w:val="21"/>
              </w:rPr>
              <w:t>人才。</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改进育人环境，为学生创造出更优秀的学习环境，提高学生及家长对高等教育的满意度。为首都就业环境提供所需求</w:t>
            </w:r>
            <w:r>
              <w:rPr>
                <w:rFonts w:hint="eastAsia" w:ascii="仿宋_GB2312" w:hAnsi="宋体" w:eastAsia="仿宋_GB2312" w:cs="宋体"/>
                <w:kern w:val="0"/>
                <w:szCs w:val="21"/>
                <w:lang w:eastAsia="zh-CN"/>
              </w:rPr>
              <w:t>的</w:t>
            </w:r>
            <w:r>
              <w:rPr>
                <w:rFonts w:hint="eastAsia" w:ascii="仿宋_GB2312" w:hAnsi="宋体" w:eastAsia="仿宋_GB2312" w:cs="宋体"/>
                <w:kern w:val="0"/>
                <w:szCs w:val="21"/>
              </w:rPr>
              <w:t>人才。</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改进育人环境，为学生创造出更优秀的学习环境，提高学生及家长对高等教育的满意度。为首都就业环境提供所需求</w:t>
            </w:r>
            <w:r>
              <w:rPr>
                <w:rFonts w:hint="eastAsia" w:ascii="仿宋_GB2312" w:hAnsi="宋体" w:eastAsia="仿宋_GB2312" w:cs="宋体"/>
                <w:kern w:val="0"/>
                <w:szCs w:val="21"/>
                <w:lang w:eastAsia="zh-CN"/>
              </w:rPr>
              <w:t>的</w:t>
            </w:r>
            <w:r>
              <w:rPr>
                <w:rFonts w:hint="eastAsia" w:ascii="仿宋_GB2312" w:hAnsi="宋体" w:eastAsia="仿宋_GB2312" w:cs="宋体"/>
                <w:kern w:val="0"/>
                <w:szCs w:val="21"/>
              </w:rPr>
              <w:t>人才。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8</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指标不够明确，可评价性较弱，后续将科学、合理设置指标</w:t>
            </w:r>
          </w:p>
        </w:tc>
      </w:tr>
      <w:tr>
        <w:tblPrEx>
          <w:tblCellMar>
            <w:top w:w="0" w:type="dxa"/>
            <w:left w:w="108" w:type="dxa"/>
            <w:bottom w:w="0" w:type="dxa"/>
            <w:right w:w="108" w:type="dxa"/>
          </w:tblCellMar>
        </w:tblPrEx>
        <w:trPr>
          <w:trHeight w:val="822" w:hRule="atLeast"/>
        </w:trPr>
        <w:tc>
          <w:tcPr>
            <w:tcW w:w="165"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满意度指标</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教师满意度</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不低于95%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96%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满意度调查不充分，后续将加强满意度调查</w:t>
            </w:r>
          </w:p>
        </w:tc>
      </w:tr>
      <w:tr>
        <w:tblPrEx>
          <w:tblCellMar>
            <w:top w:w="0" w:type="dxa"/>
            <w:left w:w="108" w:type="dxa"/>
            <w:bottom w:w="0" w:type="dxa"/>
            <w:right w:w="108" w:type="dxa"/>
          </w:tblCellMar>
        </w:tblPrEx>
        <w:trPr>
          <w:trHeight w:val="1050" w:hRule="atLeast"/>
        </w:trPr>
        <w:tc>
          <w:tcPr>
            <w:tcW w:w="358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总分</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85.88 </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r>
    </w:tbl>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OWQyYzlhZTQ3M2E2YmI3ODIyYmE2NzBkYjQ3MTkifQ=="/>
  </w:docVars>
  <w:rsids>
    <w:rsidRoot w:val="4911237C"/>
    <w:rsid w:val="00034635"/>
    <w:rsid w:val="000A1778"/>
    <w:rsid w:val="002C49D0"/>
    <w:rsid w:val="00490D91"/>
    <w:rsid w:val="00664102"/>
    <w:rsid w:val="00761E7D"/>
    <w:rsid w:val="00794DA2"/>
    <w:rsid w:val="00AE3696"/>
    <w:rsid w:val="00BB06E6"/>
    <w:rsid w:val="00C967F6"/>
    <w:rsid w:val="00D43167"/>
    <w:rsid w:val="0320635C"/>
    <w:rsid w:val="23743244"/>
    <w:rsid w:val="284769FA"/>
    <w:rsid w:val="38282120"/>
    <w:rsid w:val="3E5C624E"/>
    <w:rsid w:val="4911237C"/>
    <w:rsid w:val="4FDC67D4"/>
    <w:rsid w:val="5D0607AD"/>
    <w:rsid w:val="621A0886"/>
    <w:rsid w:val="6ADA3F52"/>
    <w:rsid w:val="7A885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181"/>
    <w:basedOn w:val="5"/>
    <w:qFormat/>
    <w:uiPriority w:val="0"/>
    <w:rPr>
      <w:rFonts w:ascii="仿宋_GB2312" w:eastAsia="仿宋_GB2312" w:cs="仿宋_GB2312"/>
      <w:color w:val="000000"/>
      <w:sz w:val="22"/>
      <w:szCs w:val="22"/>
      <w:u w:val="none"/>
    </w:rPr>
  </w:style>
  <w:style w:type="character" w:customStyle="1" w:styleId="7">
    <w:name w:val="font81"/>
    <w:basedOn w:val="5"/>
    <w:qFormat/>
    <w:uiPriority w:val="0"/>
    <w:rPr>
      <w:rFonts w:hint="default" w:ascii="Times New Roman" w:hAnsi="Times New Roman" w:cs="Times New Roman"/>
      <w:color w:val="000000"/>
      <w:sz w:val="22"/>
      <w:szCs w:val="22"/>
      <w:u w:val="none"/>
    </w:rPr>
  </w:style>
  <w:style w:type="character" w:customStyle="1" w:styleId="8">
    <w:name w:val="font21"/>
    <w:basedOn w:val="5"/>
    <w:qFormat/>
    <w:uiPriority w:val="0"/>
    <w:rPr>
      <w:rFonts w:hint="eastAsia" w:ascii="宋体" w:hAnsi="宋体" w:eastAsia="宋体" w:cs="宋体"/>
      <w:color w:val="000000"/>
      <w:sz w:val="20"/>
      <w:szCs w:val="20"/>
      <w:u w:val="none"/>
    </w:rPr>
  </w:style>
  <w:style w:type="character" w:customStyle="1" w:styleId="9">
    <w:name w:val="font161"/>
    <w:basedOn w:val="5"/>
    <w:qFormat/>
    <w:uiPriority w:val="0"/>
    <w:rPr>
      <w:rFonts w:hint="default" w:ascii="Times New Roman" w:hAnsi="Times New Roman" w:cs="Times New Roman"/>
      <w:color w:val="000000"/>
      <w:sz w:val="20"/>
      <w:szCs w:val="20"/>
      <w:u w:val="none"/>
    </w:rPr>
  </w:style>
  <w:style w:type="character" w:customStyle="1" w:styleId="10">
    <w:name w:val="font41"/>
    <w:basedOn w:val="5"/>
    <w:qFormat/>
    <w:uiPriority w:val="0"/>
    <w:rPr>
      <w:rFonts w:hint="default" w:ascii="Times New Roman" w:hAnsi="Times New Roman" w:cs="Times New Roman"/>
      <w:color w:val="000000"/>
      <w:sz w:val="20"/>
      <w:szCs w:val="20"/>
      <w:u w:val="none"/>
    </w:rPr>
  </w:style>
  <w:style w:type="character" w:customStyle="1" w:styleId="11">
    <w:name w:val="font111"/>
    <w:basedOn w:val="5"/>
    <w:qFormat/>
    <w:uiPriority w:val="0"/>
    <w:rPr>
      <w:rFonts w:hint="default" w:ascii="Times New Roman" w:hAnsi="Times New Roman" w:cs="Times New Roman"/>
      <w:color w:val="000000"/>
      <w:sz w:val="18"/>
      <w:szCs w:val="18"/>
      <w:u w:val="none"/>
    </w:rPr>
  </w:style>
  <w:style w:type="character" w:customStyle="1" w:styleId="12">
    <w:name w:val="font01"/>
    <w:basedOn w:val="5"/>
    <w:qFormat/>
    <w:uiPriority w:val="0"/>
    <w:rPr>
      <w:rFonts w:hint="eastAsia" w:ascii="宋体" w:hAnsi="宋体" w:eastAsia="宋体" w:cs="宋体"/>
      <w:color w:val="000000"/>
      <w:sz w:val="20"/>
      <w:szCs w:val="20"/>
      <w:u w:val="none"/>
    </w:rPr>
  </w:style>
  <w:style w:type="character" w:customStyle="1" w:styleId="13">
    <w:name w:val="font61"/>
    <w:basedOn w:val="5"/>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474</Words>
  <Characters>2706</Characters>
  <Lines>22</Lines>
  <Paragraphs>6</Paragraphs>
  <TotalTime>9</TotalTime>
  <ScaleCrop>false</ScaleCrop>
  <LinksUpToDate>false</LinksUpToDate>
  <CharactersWithSpaces>3174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2023-05-10T08:03:00Z</dcterms:created>
  <dc:creator>鹿与森说</dc:creator>
  <cp:lastModifiedBy>苏坡云☁️</cp:lastModifiedBy>
  <dcterms:modified xsi:type="dcterms:W3CDTF">2023-11-30T09:02:25Z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5E4F5676AF7849898F59F6069E857C03_11</vt:lpwstr>
  </property>
</Properties>
</file>