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461"/>
        <w:gridCol w:w="426"/>
        <w:gridCol w:w="1006"/>
        <w:gridCol w:w="1559"/>
        <w:gridCol w:w="1613"/>
        <w:gridCol w:w="1378"/>
        <w:gridCol w:w="1264"/>
        <w:gridCol w:w="1364"/>
        <w:gridCol w:w="1701"/>
        <w:gridCol w:w="1386"/>
        <w:gridCol w:w="2016"/>
      </w:tblGrid>
      <w:tr>
        <w:tblPrEx>
          <w:tblCellMar>
            <w:top w:w="0" w:type="dxa"/>
            <w:left w:w="108" w:type="dxa"/>
            <w:bottom w:w="0" w:type="dxa"/>
            <w:right w:w="108" w:type="dxa"/>
          </w:tblCellMar>
        </w:tblPrEx>
        <w:trPr>
          <w:trHeight w:val="600" w:hRule="atLeast"/>
        </w:trPr>
        <w:tc>
          <w:tcPr>
            <w:tcW w:w="5000" w:type="pct"/>
            <w:gridSpan w:val="11"/>
            <w:tcBorders>
              <w:top w:val="nil"/>
              <w:left w:val="nil"/>
              <w:bottom w:val="nil"/>
              <w:right w:val="nil"/>
            </w:tcBorders>
            <w:shd w:val="clear" w:color="auto" w:fill="auto"/>
            <w:vAlign w:val="center"/>
          </w:tcPr>
          <w:p>
            <w:pPr>
              <w:widowControl/>
              <w:jc w:val="center"/>
              <w:textAlignment w:val="center"/>
              <w:rPr>
                <w:rFonts w:ascii="仿宋" w:hAnsi="仿宋" w:eastAsia="仿宋" w:cs="仿宋"/>
                <w:b/>
                <w:bCs/>
                <w:color w:val="000000"/>
                <w:sz w:val="36"/>
                <w:szCs w:val="36"/>
              </w:rPr>
            </w:pPr>
            <w:r>
              <w:rPr>
                <w:rFonts w:hint="eastAsia" w:ascii="仿宋" w:hAnsi="仿宋" w:eastAsia="仿宋" w:cs="仿宋"/>
                <w:b/>
                <w:bCs/>
                <w:color w:val="000000"/>
                <w:kern w:val="0"/>
                <w:sz w:val="36"/>
                <w:szCs w:val="36"/>
                <w:lang w:bidi="ar"/>
              </w:rPr>
              <w:t>项目支出绩效自评表</w:t>
            </w:r>
          </w:p>
        </w:tc>
      </w:tr>
      <w:tr>
        <w:tblPrEx>
          <w:tblCellMar>
            <w:top w:w="0" w:type="dxa"/>
            <w:left w:w="108" w:type="dxa"/>
            <w:bottom w:w="0" w:type="dxa"/>
            <w:right w:w="108" w:type="dxa"/>
          </w:tblCellMar>
        </w:tblPrEx>
        <w:trPr>
          <w:trHeight w:val="323" w:hRule="atLeast"/>
        </w:trPr>
        <w:tc>
          <w:tcPr>
            <w:tcW w:w="5000" w:type="pct"/>
            <w:gridSpan w:val="11"/>
            <w:tcBorders>
              <w:top w:val="nil"/>
              <w:left w:val="nil"/>
              <w:bottom w:val="nil"/>
              <w:right w:val="nil"/>
            </w:tcBorders>
            <w:shd w:val="clear" w:color="auto" w:fill="auto"/>
          </w:tcPr>
          <w:p>
            <w:pPr>
              <w:widowControl/>
              <w:jc w:val="center"/>
              <w:textAlignment w:val="top"/>
              <w:rPr>
                <w:rFonts w:ascii="仿宋" w:hAnsi="仿宋" w:eastAsia="仿宋" w:cs="仿宋"/>
                <w:b/>
                <w:bCs/>
                <w:color w:val="000000"/>
                <w:sz w:val="36"/>
                <w:szCs w:val="36"/>
              </w:rPr>
            </w:pPr>
            <w:r>
              <w:rPr>
                <w:rStyle w:val="6"/>
                <w:rFonts w:hint="eastAsia" w:ascii="仿宋" w:hAnsi="仿宋" w:eastAsia="仿宋" w:cs="仿宋"/>
                <w:b/>
                <w:bCs/>
                <w:sz w:val="36"/>
                <w:szCs w:val="36"/>
                <w:lang w:bidi="ar"/>
              </w:rPr>
              <w:t>（</w:t>
            </w:r>
            <w:r>
              <w:rPr>
                <w:rStyle w:val="7"/>
                <w:rFonts w:hint="eastAsia" w:ascii="仿宋" w:hAnsi="仿宋" w:eastAsia="仿宋" w:cs="仿宋"/>
                <w:b/>
                <w:bCs/>
                <w:sz w:val="36"/>
                <w:szCs w:val="36"/>
                <w:lang w:bidi="ar"/>
              </w:rPr>
              <w:t>2022</w:t>
            </w:r>
            <w:r>
              <w:rPr>
                <w:rStyle w:val="6"/>
                <w:rFonts w:hint="eastAsia" w:ascii="仿宋" w:hAnsi="仿宋" w:eastAsia="仿宋" w:cs="仿宋"/>
                <w:b/>
                <w:bCs/>
                <w:sz w:val="36"/>
                <w:szCs w:val="36"/>
                <w:lang w:bidi="ar"/>
              </w:rPr>
              <w:t>年度）</w:t>
            </w:r>
          </w:p>
        </w:tc>
      </w:tr>
      <w:tr>
        <w:tblPrEx>
          <w:tblCellMar>
            <w:top w:w="0" w:type="dxa"/>
            <w:left w:w="108" w:type="dxa"/>
            <w:bottom w:w="0" w:type="dxa"/>
            <w:right w:w="108" w:type="dxa"/>
          </w:tblCellMar>
        </w:tblPrEx>
        <w:trPr>
          <w:trHeight w:val="743" w:hRule="atLeast"/>
        </w:trPr>
        <w:tc>
          <w:tcPr>
            <w:tcW w:w="6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43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改善办学保障条件—北京信息科技大学新校区电开水器（新竣工楼配套）</w:t>
            </w:r>
          </w:p>
        </w:tc>
      </w:tr>
      <w:tr>
        <w:tblPrEx>
          <w:tblCellMar>
            <w:top w:w="0" w:type="dxa"/>
            <w:left w:w="108" w:type="dxa"/>
            <w:bottom w:w="0" w:type="dxa"/>
            <w:right w:w="108" w:type="dxa"/>
          </w:tblCellMar>
        </w:tblPrEx>
        <w:trPr>
          <w:trHeight w:val="532" w:hRule="atLeast"/>
        </w:trPr>
        <w:tc>
          <w:tcPr>
            <w:tcW w:w="6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1605" w:type="pct"/>
            <w:gridSpan w:val="3"/>
            <w:tcBorders>
              <w:top w:val="single" w:color="000000" w:sz="4" w:space="0"/>
              <w:left w:val="single" w:color="000000" w:sz="4" w:space="0"/>
              <w:bottom w:val="single" w:color="000000" w:sz="4" w:space="0"/>
              <w:right w:val="nil"/>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北京市教育委员会</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实施单位</w:t>
            </w:r>
          </w:p>
        </w:tc>
        <w:tc>
          <w:tcPr>
            <w:tcW w:w="228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北京信息科技大学</w:t>
            </w:r>
          </w:p>
        </w:tc>
      </w:tr>
      <w:tr>
        <w:tblPrEx>
          <w:tblCellMar>
            <w:top w:w="0" w:type="dxa"/>
            <w:left w:w="108" w:type="dxa"/>
            <w:bottom w:w="0" w:type="dxa"/>
            <w:right w:w="108" w:type="dxa"/>
          </w:tblCellMar>
        </w:tblPrEx>
        <w:trPr>
          <w:trHeight w:val="479" w:hRule="atLeast"/>
        </w:trPr>
        <w:tc>
          <w:tcPr>
            <w:tcW w:w="6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1605" w:type="pct"/>
            <w:gridSpan w:val="3"/>
            <w:tcBorders>
              <w:top w:val="single" w:color="000000" w:sz="4" w:space="0"/>
              <w:left w:val="single" w:color="000000" w:sz="4" w:space="0"/>
              <w:bottom w:val="single" w:color="000000" w:sz="4" w:space="0"/>
              <w:right w:val="nil"/>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李相豸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8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010-88609600 </w:t>
            </w:r>
          </w:p>
        </w:tc>
      </w:tr>
      <w:tr>
        <w:tblPrEx>
          <w:tblCellMar>
            <w:top w:w="0" w:type="dxa"/>
            <w:left w:w="108" w:type="dxa"/>
            <w:bottom w:w="0" w:type="dxa"/>
            <w:right w:w="108" w:type="dxa"/>
          </w:tblCellMar>
        </w:tblPrEx>
        <w:trPr>
          <w:trHeight w:val="530" w:hRule="atLeast"/>
        </w:trPr>
        <w:tc>
          <w:tcPr>
            <w:tcW w:w="66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9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预算执行率</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620" w:hRule="atLeast"/>
        </w:trPr>
        <w:tc>
          <w:tcPr>
            <w:tcW w:w="66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77.832000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77.832000</w:t>
            </w:r>
          </w:p>
        </w:tc>
        <w:tc>
          <w:tcPr>
            <w:tcW w:w="9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77.8320000 </w:t>
            </w:r>
          </w:p>
        </w:tc>
        <w:tc>
          <w:tcPr>
            <w:tcW w:w="600" w:type="pc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10 </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2" w:type="pc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10 </w:t>
            </w:r>
          </w:p>
        </w:tc>
      </w:tr>
      <w:tr>
        <w:tblPrEx>
          <w:tblCellMar>
            <w:top w:w="0" w:type="dxa"/>
            <w:left w:w="108" w:type="dxa"/>
            <w:bottom w:w="0" w:type="dxa"/>
            <w:right w:w="108" w:type="dxa"/>
          </w:tblCellMar>
        </w:tblPrEx>
        <w:trPr>
          <w:trHeight w:val="860" w:hRule="atLeast"/>
        </w:trPr>
        <w:tc>
          <w:tcPr>
            <w:tcW w:w="66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77.832000</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77.832000</w:t>
            </w:r>
          </w:p>
        </w:tc>
        <w:tc>
          <w:tcPr>
            <w:tcW w:w="9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78.8320000 </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95" w:hRule="atLeast"/>
        </w:trPr>
        <w:tc>
          <w:tcPr>
            <w:tcW w:w="66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bookmarkStart w:id="0" w:name="_GoBack"/>
            <w:bookmarkEnd w:id="0"/>
          </w:p>
        </w:tc>
        <w:tc>
          <w:tcPr>
            <w:tcW w:w="9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757" w:hRule="atLeast"/>
        </w:trPr>
        <w:tc>
          <w:tcPr>
            <w:tcW w:w="66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9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89" w:type="pc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892" w:hRule="atLeast"/>
        </w:trPr>
        <w:tc>
          <w:tcPr>
            <w:tcW w:w="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仿宋_GB2312" w:hAnsi="宋体" w:eastAsia="仿宋_GB2312" w:cs="宋体"/>
                <w:kern w:val="0"/>
                <w:szCs w:val="21"/>
              </w:rPr>
            </w:pPr>
          </w:p>
          <w:p>
            <w:pPr>
              <w:widowControl/>
              <w:spacing w:line="240" w:lineRule="exact"/>
              <w:rPr>
                <w:rFonts w:ascii="仿宋_GB2312" w:hAnsi="宋体" w:eastAsia="仿宋_GB2312" w:cs="宋体"/>
                <w:kern w:val="0"/>
                <w:szCs w:val="21"/>
              </w:rPr>
            </w:pPr>
          </w:p>
          <w:p>
            <w:pPr>
              <w:widowControl/>
              <w:spacing w:line="240" w:lineRule="exact"/>
              <w:rPr>
                <w:rFonts w:ascii="仿宋_GB2312" w:hAnsi="宋体" w:eastAsia="仿宋_GB2312" w:cs="宋体"/>
                <w:kern w:val="0"/>
                <w:szCs w:val="21"/>
              </w:rPr>
            </w:pPr>
          </w:p>
          <w:p>
            <w:pPr>
              <w:widowControl/>
              <w:spacing w:line="240" w:lineRule="exact"/>
              <w:rPr>
                <w:rFonts w:ascii="仿宋_GB2312" w:hAnsi="宋体" w:eastAsia="仿宋_GB2312" w:cs="宋体"/>
                <w:kern w:val="0"/>
                <w:szCs w:val="21"/>
              </w:rPr>
            </w:pPr>
          </w:p>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21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27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3379"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211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北京信息科技大学新校区建设项目是疏解非首都核心功能重大战略的需要，当前新校区：基础教学楼、理学院、人文学院、留学生楼、工程训练中心、后勤锅炉房、教工活动中心、学二食堂、学一食堂、校医院、立德楼，以完成相关建设工作，而目前部分建筑楼的电磁开水器还未配置，会对在新校区学习、工作、生活的教职工和学生带来不便。此次申报电磁开水器配套为2022年使用竣工楼宇配套，5000余名学生教职工和最基本的学习生活需求。特申请经费购置电磁开水器新竣工楼配套项目。本次共采购47台电磁开水器。）实现节能减排目标。本次购置电磁开水器都采用了节能技术和环保设计。且采用先进电磁感应加热技术和定时变量控制技术，可按实际用水需求定时定量烧水，水电彻底分离，安全可靠。有证据表明，良好的环境能使人愉悦，在愉悦的心情里工作，学习都会事半功倍。创造更大的价值。可持续影响本项目建成后的使用寿命至少8年以上，电磁开水器长期使用，可持续为全校师生服务。</w:t>
            </w:r>
          </w:p>
        </w:tc>
        <w:tc>
          <w:tcPr>
            <w:tcW w:w="2727"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完成了各个新竣工楼宇的开水器安装，保障了师生的用水需求。本次共采购47台电磁开水器。实现节能减排目标。本次购置电磁开水器都采用了节能技术和环保设计。且采用先进电磁感应加热技术和定时变量控制技术，可按实际用水需求定时定量烧水，水电彻底分离，安全可靠。有证据表明，良好的环境能使人愉悦，在愉悦的心情里工作，学习都会事半功倍。创造更大的价值。可持续影响本项目建成后的使用寿命至少8年以上，电磁开水器长期使用，可持续为全校师生服务。</w:t>
            </w:r>
          </w:p>
        </w:tc>
      </w:tr>
      <w:tr>
        <w:tblPrEx>
          <w:tblCellMar>
            <w:top w:w="0" w:type="dxa"/>
            <w:left w:w="108" w:type="dxa"/>
            <w:bottom w:w="0" w:type="dxa"/>
            <w:right w:w="108" w:type="dxa"/>
          </w:tblCellMar>
        </w:tblPrEx>
        <w:trPr>
          <w:trHeight w:val="612" w:hRule="atLeast"/>
        </w:trPr>
        <w:tc>
          <w:tcPr>
            <w:tcW w:w="163"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绩效指标</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指标值</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完成值</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88"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出</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完成47台电磁开水器配套采购安装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47台开水器</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47台开水器</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917"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建设质量指标通过项目验收，符合国家质检机构相关标准，绿色环保、材质优良。</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所有开水器均为节能开水器</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采购的所有开水器均为节能开水器</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96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6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同相关公司进行新校区现场调研考察，并介绍校方需求，公司根据校方要求及实际环境条件制定实施方案。2021年8月底完成。</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2021年8月底完成。</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2021年8月底完成。</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90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6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进行公开招标，2022年5月完成。</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2022年5月完成</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2022年7月完成</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当时由于疫情原因未能进行现场踏勘，导致招标延后，后续将加强统筹</w:t>
            </w:r>
          </w:p>
        </w:tc>
      </w:tr>
      <w:tr>
        <w:tblPrEx>
          <w:tblCellMar>
            <w:top w:w="0" w:type="dxa"/>
            <w:left w:w="108" w:type="dxa"/>
            <w:bottom w:w="0" w:type="dxa"/>
            <w:right w:w="108" w:type="dxa"/>
          </w:tblCellMar>
        </w:tblPrEx>
        <w:trPr>
          <w:trHeight w:val="51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6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2022年7月底之前到货，进入调试运行。 </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2022年7月底完成</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2022年7月底完成</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1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605" w:type="pct"/>
            <w:gridSpan w:val="3"/>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2022年8月底按照目标完成安装。  </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2022年8月完成</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2022年8月完成</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4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tcBorders>
              <w:top w:val="single" w:color="auto" w:sz="4" w:space="0"/>
              <w:left w:val="single" w:color="000000" w:sz="4" w:space="0"/>
              <w:bottom w:val="nil"/>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87.93万元</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87.93万元</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87.93万元</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245"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提高电磁开水器的配套的建设，</w:t>
            </w:r>
            <w:r>
              <w:rPr>
                <w:rFonts w:hint="eastAsia" w:ascii="仿宋_GB2312" w:hAnsi="宋体" w:eastAsia="仿宋_GB2312" w:cs="宋体"/>
                <w:kern w:val="0"/>
                <w:szCs w:val="21"/>
                <w:lang w:eastAsia="zh-CN"/>
              </w:rPr>
              <w:t>能够更好地</w:t>
            </w:r>
            <w:r>
              <w:rPr>
                <w:rFonts w:hint="eastAsia" w:ascii="仿宋_GB2312" w:hAnsi="宋体" w:eastAsia="仿宋_GB2312" w:cs="宋体"/>
                <w:kern w:val="0"/>
                <w:szCs w:val="21"/>
              </w:rPr>
              <w:t>为全校师生服务，提升全校师生的办公、学习效率，解决师生的基础环境条件，保障用水需求。</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保障师生用水需求</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保障师生用水需求</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指标不够明确，可评价性较弱，后续将完善指标设置</w:t>
            </w:r>
          </w:p>
        </w:tc>
      </w:tr>
      <w:tr>
        <w:tblPrEx>
          <w:tblCellMar>
            <w:top w:w="0" w:type="dxa"/>
            <w:left w:w="108" w:type="dxa"/>
            <w:bottom w:w="0" w:type="dxa"/>
            <w:right w:w="108" w:type="dxa"/>
          </w:tblCellMar>
        </w:tblPrEx>
        <w:trPr>
          <w:trHeight w:val="126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生态效益</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节能减排。本次购置电磁开水器都采用了节能技术和环保设计。采用先进电磁感应加热技术和定时变量控制技术，可按实际用水需求定时定量烧水，水电彻底分离，安全可靠</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实际用水需求定时定量烧水</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实际用水需求定时定量烧水</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指标不够明确，可评价性较弱，后续将完善指标设置</w:t>
            </w:r>
          </w:p>
        </w:tc>
      </w:tr>
      <w:tr>
        <w:tblPrEx>
          <w:tblCellMar>
            <w:top w:w="0" w:type="dxa"/>
            <w:left w:w="108" w:type="dxa"/>
            <w:bottom w:w="0" w:type="dxa"/>
            <w:right w:w="108" w:type="dxa"/>
          </w:tblCellMar>
        </w:tblPrEx>
        <w:trPr>
          <w:trHeight w:val="66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本项目建成后的使用寿命至少8年以上，电磁开水器长期使用，可持续为全校师生服务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电开水器寿命长</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电开水器寿命长</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指标不够明确，可评价性较弱，后续将完善指标设置</w:t>
            </w:r>
          </w:p>
        </w:tc>
      </w:tr>
      <w:tr>
        <w:tblPrEx>
          <w:tblCellMar>
            <w:top w:w="0" w:type="dxa"/>
            <w:left w:w="108" w:type="dxa"/>
            <w:bottom w:w="0" w:type="dxa"/>
            <w:right w:w="108" w:type="dxa"/>
          </w:tblCellMar>
        </w:tblPrEx>
        <w:trPr>
          <w:trHeight w:val="840"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满意度指标</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通过生活、学习、办公的舒适性、安全性，提高基础设施在日常中的使用率，会受到广大师生</w:t>
            </w:r>
            <w:r>
              <w:rPr>
                <w:rFonts w:hint="eastAsia" w:ascii="仿宋_GB2312" w:hAnsi="宋体" w:eastAsia="仿宋_GB2312" w:cs="宋体"/>
                <w:kern w:val="0"/>
                <w:szCs w:val="21"/>
                <w:lang w:eastAsia="zh-CN"/>
              </w:rPr>
              <w:t>的</w:t>
            </w:r>
            <w:r>
              <w:rPr>
                <w:rFonts w:hint="eastAsia" w:ascii="仿宋_GB2312" w:hAnsi="宋体" w:eastAsia="仿宋_GB2312" w:cs="宋体"/>
                <w:kern w:val="0"/>
                <w:szCs w:val="21"/>
              </w:rPr>
              <w:t>欢迎。</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不低于95%</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795" w:hRule="atLeast"/>
        </w:trPr>
        <w:tc>
          <w:tcPr>
            <w:tcW w:w="163"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16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为全校师生提供舒适的学习、生活、办公、就餐的用水需求，使用率全天24小时，全年365天。</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不低于95%</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645" w:hRule="atLeast"/>
        </w:trPr>
        <w:tc>
          <w:tcPr>
            <w:tcW w:w="32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总分</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96.00 </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r>
    </w:tbl>
    <w:p>
      <w:pPr>
        <w:widowControl/>
        <w:spacing w:line="240" w:lineRule="exact"/>
        <w:jc w:val="center"/>
        <w:rPr>
          <w:rFonts w:ascii="仿宋_GB2312" w:hAnsi="宋体" w:eastAsia="仿宋_GB2312" w:cs="宋体"/>
          <w:kern w:val="0"/>
          <w:szCs w:val="21"/>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yYTFhY2FhY2RjN2E2ZjE5YjM5MTEwYTMzNTI3ZmUifQ=="/>
  </w:docVars>
  <w:rsids>
    <w:rsidRoot w:val="009A00B3"/>
    <w:rsid w:val="000530DC"/>
    <w:rsid w:val="0006013E"/>
    <w:rsid w:val="00557FBB"/>
    <w:rsid w:val="0084554F"/>
    <w:rsid w:val="008E2672"/>
    <w:rsid w:val="009A00B3"/>
    <w:rsid w:val="00CE4733"/>
    <w:rsid w:val="00DE04A5"/>
    <w:rsid w:val="00F734C9"/>
    <w:rsid w:val="00FE3E3D"/>
    <w:rsid w:val="0BA75491"/>
    <w:rsid w:val="0ED306D4"/>
    <w:rsid w:val="1A0C4CF4"/>
    <w:rsid w:val="21632E9B"/>
    <w:rsid w:val="23482AF9"/>
    <w:rsid w:val="26E0728E"/>
    <w:rsid w:val="35424E25"/>
    <w:rsid w:val="39F84B9F"/>
    <w:rsid w:val="432B22AA"/>
    <w:rsid w:val="4BF86AA5"/>
    <w:rsid w:val="56285930"/>
    <w:rsid w:val="5E613DC9"/>
    <w:rsid w:val="60145215"/>
    <w:rsid w:val="6A266F1D"/>
    <w:rsid w:val="6BEF42A1"/>
    <w:rsid w:val="71AF1858"/>
    <w:rsid w:val="7E62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61"/>
    <w:basedOn w:val="5"/>
    <w:autoRedefine/>
    <w:qFormat/>
    <w:uiPriority w:val="0"/>
    <w:rPr>
      <w:rFonts w:ascii="仿宋_GB2312" w:eastAsia="仿宋_GB2312" w:cs="仿宋_GB2312"/>
      <w:color w:val="000000"/>
      <w:sz w:val="22"/>
      <w:szCs w:val="22"/>
      <w:u w:val="none"/>
    </w:rPr>
  </w:style>
  <w:style w:type="character" w:customStyle="1" w:styleId="7">
    <w:name w:val="font51"/>
    <w:basedOn w:val="5"/>
    <w:autoRedefine/>
    <w:qFormat/>
    <w:uiPriority w:val="0"/>
    <w:rPr>
      <w:rFonts w:hint="default" w:ascii="Times New Roman" w:hAnsi="Times New Roman" w:cs="Times New Roman"/>
      <w:color w:val="000000"/>
      <w:sz w:val="22"/>
      <w:szCs w:val="22"/>
      <w:u w:val="none"/>
    </w:rPr>
  </w:style>
  <w:style w:type="character" w:customStyle="1" w:styleId="8">
    <w:name w:val="font12"/>
    <w:basedOn w:val="5"/>
    <w:autoRedefine/>
    <w:qFormat/>
    <w:uiPriority w:val="0"/>
    <w:rPr>
      <w:rFonts w:hint="eastAsia" w:ascii="宋体" w:hAnsi="宋体" w:eastAsia="宋体" w:cs="宋体"/>
      <w:color w:val="000000"/>
      <w:sz w:val="20"/>
      <w:szCs w:val="20"/>
      <w:u w:val="none"/>
    </w:rPr>
  </w:style>
  <w:style w:type="character" w:customStyle="1" w:styleId="9">
    <w:name w:val="font151"/>
    <w:basedOn w:val="5"/>
    <w:autoRedefine/>
    <w:qFormat/>
    <w:uiPriority w:val="0"/>
    <w:rPr>
      <w:rFonts w:hint="default" w:ascii="Times New Roman" w:hAnsi="Times New Roman" w:cs="Times New Roman"/>
      <w:color w:val="000000"/>
      <w:sz w:val="20"/>
      <w:szCs w:val="20"/>
      <w:u w:val="none"/>
    </w:rPr>
  </w:style>
  <w:style w:type="character" w:customStyle="1" w:styleId="10">
    <w:name w:val="font81"/>
    <w:basedOn w:val="5"/>
    <w:autoRedefine/>
    <w:qFormat/>
    <w:uiPriority w:val="0"/>
    <w:rPr>
      <w:rFonts w:hint="eastAsia" w:ascii="宋体" w:hAnsi="宋体" w:eastAsia="宋体" w:cs="宋体"/>
      <w:color w:val="000000"/>
      <w:sz w:val="20"/>
      <w:szCs w:val="20"/>
      <w:u w:val="none"/>
    </w:rPr>
  </w:style>
  <w:style w:type="character" w:customStyle="1" w:styleId="11">
    <w:name w:val="font41"/>
    <w:basedOn w:val="5"/>
    <w:autoRedefine/>
    <w:qFormat/>
    <w:uiPriority w:val="0"/>
    <w:rPr>
      <w:rFonts w:hint="default" w:ascii="Times New Roman" w:hAnsi="Times New Roman" w:cs="Times New Roman"/>
      <w:color w:val="000000"/>
      <w:sz w:val="20"/>
      <w:szCs w:val="20"/>
      <w:u w:val="none"/>
    </w:rPr>
  </w:style>
  <w:style w:type="character" w:customStyle="1" w:styleId="12">
    <w:name w:val="font101"/>
    <w:basedOn w:val="5"/>
    <w:autoRedefine/>
    <w:qFormat/>
    <w:uiPriority w:val="0"/>
    <w:rPr>
      <w:rFonts w:hint="default" w:ascii="Times New Roman" w:hAnsi="Times New Roman" w:cs="Times New Roman"/>
      <w:color w:val="000000"/>
      <w:sz w:val="18"/>
      <w:szCs w:val="18"/>
      <w:u w:val="none"/>
    </w:rPr>
  </w:style>
  <w:style w:type="character" w:customStyle="1" w:styleId="13">
    <w:name w:val="font131"/>
    <w:basedOn w:val="5"/>
    <w:autoRedefine/>
    <w:qFormat/>
    <w:uiPriority w:val="0"/>
    <w:rPr>
      <w:rFonts w:hint="eastAsia" w:ascii="宋体" w:hAnsi="宋体" w:eastAsia="宋体" w:cs="宋体"/>
      <w:color w:val="000000"/>
      <w:sz w:val="20"/>
      <w:szCs w:val="20"/>
      <w:u w:val="none"/>
    </w:rPr>
  </w:style>
  <w:style w:type="character" w:customStyle="1" w:styleId="14">
    <w:name w:val="font122"/>
    <w:basedOn w:val="5"/>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295</Words>
  <Characters>1688</Characters>
  <Lines>14</Lines>
  <Paragraphs>3</Paragraphs>
  <TotalTime>11</TotalTime>
  <ScaleCrop>false</ScaleCrop>
  <LinksUpToDate>false</LinksUpToDate>
  <CharactersWithSpaces>1980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苏坡云☁️</cp:lastModifiedBy>
  <cp:lastPrinted>2023-05-10T11:56:00Z</cp:lastPrinted>
  <dcterms:modified xsi:type="dcterms:W3CDTF">2024-02-21T07:19:19Z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CFDA7BEAFD01467886C7B1DAE6673BB1_12</vt:lpwstr>
  </property>
</Properties>
</file>