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4996" w:type="pct"/>
        <w:tblInd w:w="0" w:type="dxa"/>
        <w:tblLayout w:type="fixed"/>
        <w:tblCellMar>
          <w:top w:w="0" w:type="dxa"/>
          <w:left w:w="108" w:type="dxa"/>
          <w:bottom w:w="0" w:type="dxa"/>
          <w:right w:w="108" w:type="dxa"/>
        </w:tblCellMar>
      </w:tblPr>
      <w:tblGrid>
        <w:gridCol w:w="437"/>
        <w:gridCol w:w="685"/>
        <w:gridCol w:w="725"/>
        <w:gridCol w:w="1637"/>
        <w:gridCol w:w="1623"/>
        <w:gridCol w:w="1589"/>
        <w:gridCol w:w="3507"/>
        <w:gridCol w:w="1108"/>
        <w:gridCol w:w="660"/>
        <w:gridCol w:w="1048"/>
        <w:gridCol w:w="1144"/>
      </w:tblGrid>
      <w:tr>
        <w:tblPrEx>
          <w:tblCellMar>
            <w:top w:w="0" w:type="dxa"/>
            <w:left w:w="108" w:type="dxa"/>
            <w:bottom w:w="0" w:type="dxa"/>
            <w:right w:w="108" w:type="dxa"/>
          </w:tblCellMar>
        </w:tblPrEx>
        <w:trPr>
          <w:trHeight w:val="600" w:hRule="atLeast"/>
        </w:trPr>
        <w:tc>
          <w:tcPr>
            <w:tcW w:w="5000" w:type="pct"/>
            <w:gridSpan w:val="11"/>
            <w:tcBorders>
              <w:top w:val="nil"/>
              <w:left w:val="nil"/>
              <w:bottom w:val="nil"/>
              <w:right w:val="nil"/>
            </w:tcBorders>
            <w:shd w:val="clear" w:color="auto" w:fill="auto"/>
            <w:vAlign w:val="center"/>
          </w:tcPr>
          <w:p>
            <w:pPr>
              <w:jc w:val="center"/>
              <w:rPr>
                <w:rFonts w:ascii="Times New Roman" w:hAnsi="Times New Roman" w:eastAsia="等线" w:cs="Times New Roman"/>
                <w:color w:val="000000"/>
                <w:sz w:val="22"/>
                <w:szCs w:val="22"/>
              </w:rPr>
            </w:pPr>
            <w:r>
              <w:rPr>
                <w:rFonts w:hint="eastAsia" w:ascii="仿宋" w:hAnsi="仿宋" w:eastAsia="仿宋" w:cs="仿宋"/>
                <w:b/>
                <w:bCs/>
                <w:color w:val="000000"/>
                <w:kern w:val="0"/>
                <w:sz w:val="36"/>
                <w:szCs w:val="36"/>
              </w:rPr>
              <w:t>项目支出绩效自评表</w:t>
            </w:r>
          </w:p>
        </w:tc>
      </w:tr>
      <w:tr>
        <w:tblPrEx>
          <w:tblCellMar>
            <w:top w:w="0" w:type="dxa"/>
            <w:left w:w="108" w:type="dxa"/>
            <w:bottom w:w="0" w:type="dxa"/>
            <w:right w:w="108" w:type="dxa"/>
          </w:tblCellMar>
        </w:tblPrEx>
        <w:trPr>
          <w:trHeight w:val="323" w:hRule="atLeast"/>
        </w:trPr>
        <w:tc>
          <w:tcPr>
            <w:tcW w:w="5000" w:type="pct"/>
            <w:gridSpan w:val="11"/>
            <w:tcBorders>
              <w:top w:val="nil"/>
              <w:left w:val="nil"/>
              <w:bottom w:val="single" w:color="000000" w:sz="4" w:space="0"/>
              <w:right w:val="nil"/>
            </w:tcBorders>
            <w:shd w:val="clear" w:color="auto" w:fill="auto"/>
          </w:tcPr>
          <w:p>
            <w:pPr>
              <w:widowControl/>
              <w:spacing w:line="360" w:lineRule="auto"/>
              <w:jc w:val="center"/>
              <w:rPr>
                <w:rFonts w:ascii="仿宋_GB2312" w:hAnsi="宋体" w:eastAsia="仿宋_GB2312" w:cs="宋体"/>
                <w:color w:val="000000"/>
                <w:kern w:val="0"/>
                <w:szCs w:val="21"/>
              </w:rPr>
            </w:pPr>
            <w:r>
              <w:rPr>
                <w:rFonts w:hint="eastAsia" w:ascii="仿宋" w:hAnsi="仿宋" w:eastAsia="仿宋" w:cs="仿宋"/>
                <w:b/>
                <w:bCs/>
                <w:color w:val="000000"/>
                <w:kern w:val="0"/>
                <w:sz w:val="36"/>
                <w:szCs w:val="36"/>
              </w:rPr>
              <w:t>（2022年度）</w:t>
            </w:r>
          </w:p>
        </w:tc>
      </w:tr>
      <w:tr>
        <w:tblPrEx>
          <w:tblCellMar>
            <w:top w:w="0" w:type="dxa"/>
            <w:left w:w="108" w:type="dxa"/>
            <w:bottom w:w="0" w:type="dxa"/>
            <w:right w:w="108" w:type="dxa"/>
          </w:tblCellMar>
        </w:tblPrEx>
        <w:trPr>
          <w:trHeight w:val="445" w:hRule="atLeast"/>
        </w:trPr>
        <w:tc>
          <w:tcPr>
            <w:tcW w:w="6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项目名称</w:t>
            </w:r>
          </w:p>
        </w:tc>
        <w:tc>
          <w:tcPr>
            <w:tcW w:w="4348"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改善办学保障条件-北京信息科技大学新校区理综实验室建设项目（新竣工楼配套）</w:t>
            </w:r>
          </w:p>
        </w:tc>
      </w:tr>
      <w:tr>
        <w:tblPrEx>
          <w:tblCellMar>
            <w:top w:w="0" w:type="dxa"/>
            <w:left w:w="108" w:type="dxa"/>
            <w:bottom w:w="0" w:type="dxa"/>
            <w:right w:w="108" w:type="dxa"/>
          </w:tblCellMar>
        </w:tblPrEx>
        <w:trPr>
          <w:trHeight w:val="327" w:hRule="atLeast"/>
        </w:trPr>
        <w:tc>
          <w:tcPr>
            <w:tcW w:w="6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主管部门</w:t>
            </w:r>
          </w:p>
        </w:tc>
        <w:tc>
          <w:tcPr>
            <w:tcW w:w="171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北京市教育委员会</w:t>
            </w:r>
          </w:p>
        </w:tc>
        <w:tc>
          <w:tcPr>
            <w:tcW w:w="123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实施单位</w:t>
            </w:r>
          </w:p>
        </w:tc>
        <w:tc>
          <w:tcPr>
            <w:tcW w:w="139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北京信息科技大学</w:t>
            </w:r>
          </w:p>
        </w:tc>
      </w:tr>
      <w:tr>
        <w:tblPrEx>
          <w:tblCellMar>
            <w:top w:w="0" w:type="dxa"/>
            <w:left w:w="108" w:type="dxa"/>
            <w:bottom w:w="0" w:type="dxa"/>
            <w:right w:w="108" w:type="dxa"/>
          </w:tblCellMar>
        </w:tblPrEx>
        <w:trPr>
          <w:trHeight w:val="327" w:hRule="atLeast"/>
        </w:trPr>
        <w:tc>
          <w:tcPr>
            <w:tcW w:w="65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项目负责人</w:t>
            </w:r>
          </w:p>
        </w:tc>
        <w:tc>
          <w:tcPr>
            <w:tcW w:w="171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王爱文</w:t>
            </w:r>
          </w:p>
        </w:tc>
        <w:tc>
          <w:tcPr>
            <w:tcW w:w="123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联系电话</w:t>
            </w:r>
          </w:p>
        </w:tc>
        <w:tc>
          <w:tcPr>
            <w:tcW w:w="1398" w:type="pct"/>
            <w:gridSpan w:val="4"/>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13611102713</w:t>
            </w:r>
          </w:p>
        </w:tc>
      </w:tr>
      <w:tr>
        <w:tblPrEx>
          <w:tblCellMar>
            <w:top w:w="0" w:type="dxa"/>
            <w:left w:w="108" w:type="dxa"/>
            <w:bottom w:w="0" w:type="dxa"/>
            <w:right w:w="108" w:type="dxa"/>
          </w:tblCellMar>
        </w:tblPrEx>
        <w:trPr>
          <w:trHeight w:val="327" w:hRule="atLeast"/>
        </w:trPr>
        <w:tc>
          <w:tcPr>
            <w:tcW w:w="652" w:type="pct"/>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项目资金</w:t>
            </w:r>
          </w:p>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（万元）</w:t>
            </w: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年初预算数</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全年预算数</w:t>
            </w:r>
          </w:p>
        </w:tc>
        <w:tc>
          <w:tcPr>
            <w:tcW w:w="16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全年执行数</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分值</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预算执行率</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得分</w:t>
            </w:r>
          </w:p>
        </w:tc>
      </w:tr>
      <w:tr>
        <w:tblPrEx>
          <w:tblCellMar>
            <w:top w:w="0" w:type="dxa"/>
            <w:left w:w="108" w:type="dxa"/>
            <w:bottom w:w="0" w:type="dxa"/>
            <w:right w:w="108" w:type="dxa"/>
          </w:tblCellMar>
        </w:tblPrEx>
        <w:trPr>
          <w:trHeight w:val="482" w:hRule="atLeast"/>
        </w:trPr>
        <w:tc>
          <w:tcPr>
            <w:tcW w:w="65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年度资金总额：</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128.405000</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128.405000</w:t>
            </w:r>
          </w:p>
        </w:tc>
        <w:tc>
          <w:tcPr>
            <w:tcW w:w="16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128.405000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r>
      <w:tr>
        <w:tblPrEx>
          <w:tblCellMar>
            <w:top w:w="0" w:type="dxa"/>
            <w:left w:w="108" w:type="dxa"/>
            <w:bottom w:w="0" w:type="dxa"/>
            <w:right w:w="108" w:type="dxa"/>
          </w:tblCellMar>
        </w:tblPrEx>
        <w:trPr>
          <w:trHeight w:val="548" w:hRule="atLeast"/>
        </w:trPr>
        <w:tc>
          <w:tcPr>
            <w:tcW w:w="65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hint="eastAsia" w:ascii="仿宋_GB2312" w:hAnsi="宋体" w:eastAsia="仿宋_GB2312" w:cs="宋体"/>
                <w:color w:val="000000"/>
                <w:kern w:val="0"/>
                <w:szCs w:val="21"/>
                <w:lang w:eastAsia="zh-CN"/>
              </w:rPr>
            </w:pPr>
            <w:r>
              <w:rPr>
                <w:rFonts w:hint="eastAsia" w:ascii="仿宋_GB2312" w:hAnsi="宋体" w:eastAsia="仿宋_GB2312" w:cs="宋体"/>
                <w:color w:val="000000"/>
                <w:kern w:val="0"/>
                <w:szCs w:val="21"/>
              </w:rPr>
              <w:t>其中：当年</w:t>
            </w:r>
            <w:r>
              <w:rPr>
                <w:rFonts w:hint="eastAsia" w:ascii="仿宋_GB2312" w:hAnsi="宋体" w:eastAsia="仿宋_GB2312" w:cs="宋体"/>
                <w:color w:val="000000"/>
                <w:kern w:val="0"/>
                <w:szCs w:val="21"/>
                <w:lang w:eastAsia="zh-CN"/>
              </w:rPr>
              <w:t>财政拨款</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128.405000</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128.405000</w:t>
            </w:r>
          </w:p>
        </w:tc>
        <w:tc>
          <w:tcPr>
            <w:tcW w:w="16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128.405000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tblPrEx>
          <w:tblCellMar>
            <w:top w:w="0" w:type="dxa"/>
            <w:left w:w="108" w:type="dxa"/>
            <w:bottom w:w="0" w:type="dxa"/>
            <w:right w:w="108" w:type="dxa"/>
          </w:tblCellMar>
        </w:tblPrEx>
        <w:trPr>
          <w:trHeight w:val="474" w:hRule="atLeast"/>
        </w:trPr>
        <w:tc>
          <w:tcPr>
            <w:tcW w:w="65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上年结转资金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16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tblPrEx>
          <w:tblCellMar>
            <w:top w:w="0" w:type="dxa"/>
            <w:left w:w="108" w:type="dxa"/>
            <w:bottom w:w="0" w:type="dxa"/>
            <w:right w:w="108" w:type="dxa"/>
          </w:tblCellMar>
        </w:tblPrEx>
        <w:trPr>
          <w:trHeight w:val="327" w:hRule="atLeast"/>
        </w:trPr>
        <w:tc>
          <w:tcPr>
            <w:tcW w:w="652" w:type="pct"/>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57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其他资金</w:t>
            </w:r>
          </w:p>
        </w:tc>
        <w:tc>
          <w:tcPr>
            <w:tcW w:w="57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1629"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40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w:t>
            </w:r>
          </w:p>
        </w:tc>
      </w:tr>
      <w:tr>
        <w:tblPrEx>
          <w:tblCellMar>
            <w:top w:w="0" w:type="dxa"/>
            <w:left w:w="108" w:type="dxa"/>
            <w:bottom w:w="0" w:type="dxa"/>
            <w:right w:w="108" w:type="dxa"/>
          </w:tblCellMar>
        </w:tblPrEx>
        <w:trPr>
          <w:trHeight w:val="327" w:hRule="atLeast"/>
        </w:trPr>
        <w:tc>
          <w:tcPr>
            <w:tcW w:w="1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年度总体目标</w:t>
            </w:r>
          </w:p>
        </w:tc>
        <w:tc>
          <w:tcPr>
            <w:tcW w:w="2210"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预期目标</w:t>
            </w:r>
          </w:p>
        </w:tc>
        <w:tc>
          <w:tcPr>
            <w:tcW w:w="263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实际完成情况</w:t>
            </w:r>
          </w:p>
        </w:tc>
      </w:tr>
      <w:tr>
        <w:tblPrEx>
          <w:tblCellMar>
            <w:top w:w="0" w:type="dxa"/>
            <w:left w:w="108" w:type="dxa"/>
            <w:bottom w:w="0" w:type="dxa"/>
            <w:right w:w="108" w:type="dxa"/>
          </w:tblCellMar>
        </w:tblPrEx>
        <w:trPr>
          <w:trHeight w:val="1880" w:hRule="atLeast"/>
        </w:trPr>
        <w:tc>
          <w:tcPr>
            <w:tcW w:w="15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2210" w:type="pct"/>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本项目总体目标为建成一个项目合理、实验仪器充足、教学环境优良、教学手段丰富、科学氛围浓厚，信息化、智能化的全新理综实验室。项目建成后将全面服务于新校区就读的理学院三系一部学生，实现统计、信计和电技专业的本科生教学实践教学，保证学生顺利开展实践教学项目建成将使理学院实验教学更具整体性、系统性，使我校理学院实验教学提升到新的水平。本项目将在2022年8月底前，完成项目建设，保证不影响新校区理综实验室投入教学使用。</w:t>
            </w:r>
          </w:p>
        </w:tc>
        <w:tc>
          <w:tcPr>
            <w:tcW w:w="2636" w:type="pct"/>
            <w:gridSpan w:val="5"/>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由于疫情影响，北京市教委2022年12月分才下拨128.405万元的预付款。理综实验室建设项目招标采购合同共256.810万，于2022年12月支付完成了50％的预付款128.405万。还有1</w:t>
            </w:r>
            <w:bookmarkStart w:id="0" w:name="_GoBack"/>
            <w:bookmarkEnd w:id="0"/>
            <w:r>
              <w:rPr>
                <w:rFonts w:hint="eastAsia" w:ascii="仿宋_GB2312" w:hAnsi="宋体" w:eastAsia="仿宋_GB2312" w:cs="宋体"/>
                <w:color w:val="000000"/>
                <w:kern w:val="0"/>
                <w:szCs w:val="21"/>
              </w:rPr>
              <w:t>28.405万未支付，等2023年项目合同验收完支付。预付款的目标为启动理综实验室建设工程。现项目建设工程已启动，并执行完成，且验收通过。</w:t>
            </w:r>
          </w:p>
        </w:tc>
      </w:tr>
      <w:tr>
        <w:tblPrEx>
          <w:tblCellMar>
            <w:top w:w="0" w:type="dxa"/>
            <w:left w:w="108" w:type="dxa"/>
            <w:bottom w:w="0" w:type="dxa"/>
            <w:right w:w="108" w:type="dxa"/>
          </w:tblCellMar>
        </w:tblPrEx>
        <w:trPr>
          <w:trHeight w:val="90" w:hRule="atLeast"/>
        </w:trPr>
        <w:tc>
          <w:tcPr>
            <w:tcW w:w="15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p>
            <w:pPr>
              <w:widowControl/>
              <w:spacing w:line="240" w:lineRule="exact"/>
              <w:jc w:val="center"/>
              <w:rPr>
                <w:rFonts w:ascii="仿宋_GB2312" w:hAnsi="宋体" w:eastAsia="仿宋_GB2312" w:cs="宋体"/>
                <w:color w:val="000000"/>
                <w:kern w:val="0"/>
                <w:szCs w:val="21"/>
              </w:rPr>
            </w:pPr>
          </w:p>
          <w:p>
            <w:pPr>
              <w:widowControl/>
              <w:spacing w:line="240" w:lineRule="exact"/>
              <w:jc w:val="center"/>
              <w:rPr>
                <w:rFonts w:ascii="仿宋_GB2312" w:hAnsi="宋体" w:eastAsia="仿宋_GB2312" w:cs="宋体"/>
                <w:color w:val="000000"/>
                <w:kern w:val="0"/>
                <w:szCs w:val="21"/>
              </w:rPr>
            </w:pPr>
          </w:p>
          <w:p>
            <w:pPr>
              <w:widowControl/>
              <w:spacing w:line="240" w:lineRule="exact"/>
              <w:jc w:val="center"/>
              <w:rPr>
                <w:rFonts w:ascii="仿宋_GB2312" w:hAnsi="宋体" w:eastAsia="仿宋_GB2312" w:cs="宋体"/>
                <w:color w:val="000000"/>
                <w:kern w:val="0"/>
                <w:szCs w:val="21"/>
              </w:rPr>
            </w:pPr>
          </w:p>
          <w:p>
            <w:pPr>
              <w:widowControl/>
              <w:spacing w:line="240" w:lineRule="exact"/>
              <w:jc w:val="center"/>
              <w:rPr>
                <w:rFonts w:ascii="仿宋_GB2312" w:hAnsi="宋体" w:eastAsia="仿宋_GB2312" w:cs="宋体"/>
                <w:color w:val="000000"/>
                <w:kern w:val="0"/>
                <w:szCs w:val="21"/>
              </w:rPr>
            </w:pPr>
          </w:p>
          <w:p>
            <w:pPr>
              <w:widowControl/>
              <w:spacing w:line="240" w:lineRule="exact"/>
              <w:jc w:val="center"/>
              <w:rPr>
                <w:rFonts w:ascii="仿宋_GB2312" w:hAnsi="宋体" w:eastAsia="仿宋_GB2312" w:cs="宋体"/>
                <w:color w:val="000000"/>
                <w:kern w:val="0"/>
                <w:szCs w:val="21"/>
              </w:rPr>
            </w:pPr>
          </w:p>
          <w:p>
            <w:pPr>
              <w:widowControl/>
              <w:spacing w:line="240" w:lineRule="exact"/>
              <w:jc w:val="center"/>
              <w:rPr>
                <w:rFonts w:ascii="仿宋_GB2312" w:hAnsi="宋体" w:eastAsia="仿宋_GB2312" w:cs="宋体"/>
                <w:color w:val="000000"/>
                <w:kern w:val="0"/>
                <w:szCs w:val="21"/>
              </w:rPr>
            </w:pPr>
          </w:p>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绩效指标</w:t>
            </w:r>
          </w:p>
        </w:tc>
        <w:tc>
          <w:tcPr>
            <w:tcW w:w="2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一级</w:t>
            </w:r>
          </w:p>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二级指标</w:t>
            </w:r>
          </w:p>
        </w:tc>
        <w:tc>
          <w:tcPr>
            <w:tcW w:w="171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三级指标</w:t>
            </w:r>
          </w:p>
        </w:tc>
        <w:tc>
          <w:tcPr>
            <w:tcW w:w="123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年度</w:t>
            </w:r>
          </w:p>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指标值</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实际</w:t>
            </w:r>
          </w:p>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完成值</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分值</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得分</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偏差原因分析及改进措施</w:t>
            </w:r>
          </w:p>
        </w:tc>
      </w:tr>
      <w:tr>
        <w:tblPrEx>
          <w:tblCellMar>
            <w:top w:w="0" w:type="dxa"/>
            <w:left w:w="108" w:type="dxa"/>
            <w:bottom w:w="0" w:type="dxa"/>
            <w:right w:w="108" w:type="dxa"/>
          </w:tblCellMar>
        </w:tblPrEx>
        <w:trPr>
          <w:trHeight w:val="750" w:hRule="atLeast"/>
        </w:trPr>
        <w:tc>
          <w:tcPr>
            <w:tcW w:w="154"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color w:val="000000"/>
                <w:kern w:val="0"/>
                <w:szCs w:val="21"/>
              </w:rPr>
            </w:pPr>
          </w:p>
        </w:tc>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产</w:t>
            </w:r>
          </w:p>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出</w:t>
            </w:r>
          </w:p>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w:t>
            </w:r>
          </w:p>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标</w:t>
            </w:r>
          </w:p>
        </w:tc>
        <w:tc>
          <w:tcPr>
            <w:tcW w:w="25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数量指标</w:t>
            </w:r>
          </w:p>
        </w:tc>
        <w:tc>
          <w:tcPr>
            <w:tcW w:w="171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实验室数量</w:t>
            </w:r>
          </w:p>
        </w:tc>
        <w:tc>
          <w:tcPr>
            <w:tcW w:w="123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产出数量指标，建设6间教学实验室其中包括以下设备：</w:t>
            </w:r>
          </w:p>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计算机 65台、机架式服务器 3台、 服务器主机-机架 1台、纳米黑板5台、教学一体机 2台、网络中央控制器-多媒体 4台、数字示波器 30台、信号发生器 30台、直流稳压电源 30台、数字万用表 30台、频谱分析仪 10台、LCR测试仪 1台、电讯维修工具套装 32套、计算机硬件综合实验系统 30台、嵌入式技术综合创新应用开发平台 20台、无线传屏 4台、液晶控制面板 4台、功放 4台、音箱 8台、固定式鹅颈话筒 4支、无线麦克风 4支、时序电源 4台、蓝牙接收器 4台、录播主机2台、教师录播摄像机 2台、 学生录播摄像机 4台、多维空间智能跟踪设备2台、跟踪策略管理控制软件2套、跟踪策略调度控制主机2台、音频处理器2台、声音采集话筒 12台、3D打印机 1台、PLA+耗材 30批、3D扫描仪1台、计算机教室电脑桌 30张、显示器器旋转升降架 135个、学生定制方凳 135把、教师定制椅子，5把、室内定制置物柜 6张、第3,4房间平面实验桌50张、第五间硬件实验室定制试验台 20张、第五间硬件实验室定制试验台 5张、第六房间平板桌 2张、第六房间教师桌子 3张、第六房间教师椅子 3把、第六房间边柜 1套、教室讲台 5台、机柜 4台、云桌面114点、保护卡 65块、路由器 6台、交换机 5台</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6间实验室启动施工</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15</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870" w:hRule="atLeast"/>
        </w:trPr>
        <w:tc>
          <w:tcPr>
            <w:tcW w:w="154"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color w:val="000000"/>
                <w:kern w:val="0"/>
                <w:szCs w:val="21"/>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质量指标</w:t>
            </w:r>
          </w:p>
        </w:tc>
        <w:tc>
          <w:tcPr>
            <w:tcW w:w="171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系统正常运行率</w:t>
            </w:r>
          </w:p>
        </w:tc>
        <w:tc>
          <w:tcPr>
            <w:tcW w:w="123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设备完好率达到要求，保证教学设备质量全部完好，学生教学不中断，设备验收完好率达到100%。</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设备完好率达到要求，保证教学设备质量全部完好，学生教学不中断，设备验收完好率达到100%。</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7.5</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跨年实施项目，指标尚未充分发挥</w:t>
            </w:r>
          </w:p>
        </w:tc>
      </w:tr>
      <w:tr>
        <w:tblPrEx>
          <w:tblCellMar>
            <w:top w:w="0" w:type="dxa"/>
            <w:left w:w="108" w:type="dxa"/>
            <w:bottom w:w="0" w:type="dxa"/>
            <w:right w:w="108" w:type="dxa"/>
          </w:tblCellMar>
        </w:tblPrEx>
        <w:trPr>
          <w:trHeight w:val="262" w:hRule="atLeast"/>
        </w:trPr>
        <w:tc>
          <w:tcPr>
            <w:tcW w:w="154"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color w:val="000000"/>
                <w:kern w:val="0"/>
                <w:szCs w:val="21"/>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171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家具桌椅质量标准</w:t>
            </w:r>
          </w:p>
        </w:tc>
        <w:tc>
          <w:tcPr>
            <w:tcW w:w="123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家具桌椅，符合GB/T4893.1-9的相关国家标准。</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家具桌椅，符合GB/T4893.1-9的相关国家标准。</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7.5</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6</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跨年实施项目，指标尚未充分发挥</w:t>
            </w:r>
          </w:p>
        </w:tc>
      </w:tr>
      <w:tr>
        <w:tblPrEx>
          <w:tblCellMar>
            <w:top w:w="0" w:type="dxa"/>
            <w:left w:w="108" w:type="dxa"/>
            <w:bottom w:w="0" w:type="dxa"/>
            <w:right w:w="108" w:type="dxa"/>
          </w:tblCellMar>
        </w:tblPrEx>
        <w:trPr>
          <w:trHeight w:val="460" w:hRule="atLeast"/>
        </w:trPr>
        <w:tc>
          <w:tcPr>
            <w:tcW w:w="154"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color w:val="000000"/>
                <w:kern w:val="0"/>
                <w:szCs w:val="21"/>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256" w:type="pct"/>
            <w:vMerge w:val="restart"/>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进度指标</w:t>
            </w:r>
          </w:p>
        </w:tc>
        <w:tc>
          <w:tcPr>
            <w:tcW w:w="171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项目开始时间</w:t>
            </w:r>
          </w:p>
        </w:tc>
        <w:tc>
          <w:tcPr>
            <w:tcW w:w="123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2022年1月1日</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2022年1月1日</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2.5</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2.5</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kern w:val="0"/>
                <w:szCs w:val="21"/>
              </w:rPr>
              <w:t>无</w:t>
            </w:r>
          </w:p>
        </w:tc>
      </w:tr>
      <w:tr>
        <w:tblPrEx>
          <w:tblCellMar>
            <w:top w:w="0" w:type="dxa"/>
            <w:left w:w="108" w:type="dxa"/>
            <w:bottom w:w="0" w:type="dxa"/>
            <w:right w:w="108" w:type="dxa"/>
          </w:tblCellMar>
        </w:tblPrEx>
        <w:trPr>
          <w:trHeight w:val="510" w:hRule="atLeast"/>
        </w:trPr>
        <w:tc>
          <w:tcPr>
            <w:tcW w:w="154"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color w:val="000000"/>
                <w:kern w:val="0"/>
                <w:szCs w:val="21"/>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256" w:type="pct"/>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1712"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招标采购</w:t>
            </w:r>
          </w:p>
        </w:tc>
        <w:tc>
          <w:tcPr>
            <w:tcW w:w="123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2022年6月前</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2022年8月</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2.5</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由于疫情影响推迟进度</w:t>
            </w:r>
          </w:p>
        </w:tc>
      </w:tr>
      <w:tr>
        <w:tblPrEx>
          <w:tblCellMar>
            <w:top w:w="0" w:type="dxa"/>
            <w:left w:w="108" w:type="dxa"/>
            <w:bottom w:w="0" w:type="dxa"/>
            <w:right w:w="108" w:type="dxa"/>
          </w:tblCellMar>
        </w:tblPrEx>
        <w:trPr>
          <w:trHeight w:val="510" w:hRule="atLeast"/>
        </w:trPr>
        <w:tc>
          <w:tcPr>
            <w:tcW w:w="154"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color w:val="000000"/>
                <w:kern w:val="0"/>
                <w:szCs w:val="21"/>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256" w:type="pct"/>
            <w:vMerge w:val="continue"/>
            <w:tcBorders>
              <w:top w:val="nil"/>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1712"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采购物品到位时间</w:t>
            </w:r>
          </w:p>
        </w:tc>
        <w:tc>
          <w:tcPr>
            <w:tcW w:w="123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2022年7月前</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2022年10月</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2.5</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由于疫情影响推迟进度</w:t>
            </w:r>
          </w:p>
        </w:tc>
      </w:tr>
      <w:tr>
        <w:tblPrEx>
          <w:tblCellMar>
            <w:top w:w="0" w:type="dxa"/>
            <w:left w:w="108" w:type="dxa"/>
            <w:bottom w:w="0" w:type="dxa"/>
            <w:right w:w="108" w:type="dxa"/>
          </w:tblCellMar>
        </w:tblPrEx>
        <w:trPr>
          <w:trHeight w:val="510" w:hRule="atLeast"/>
        </w:trPr>
        <w:tc>
          <w:tcPr>
            <w:tcW w:w="154"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color w:val="000000"/>
                <w:kern w:val="0"/>
                <w:szCs w:val="21"/>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256" w:type="pct"/>
            <w:vMerge w:val="continue"/>
            <w:tcBorders>
              <w:top w:val="nil"/>
              <w:left w:val="single" w:color="000000" w:sz="4" w:space="0"/>
              <w:bottom w:val="single" w:color="auto"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1712" w:type="pct"/>
            <w:gridSpan w:val="3"/>
            <w:tcBorders>
              <w:top w:val="single" w:color="000000" w:sz="4" w:space="0"/>
              <w:left w:val="single" w:color="000000" w:sz="4" w:space="0"/>
              <w:bottom w:val="single" w:color="000000" w:sz="4" w:space="0"/>
              <w:right w:val="single" w:color="000000" w:sz="4" w:space="0"/>
            </w:tcBorders>
            <w:shd w:val="clear" w:color="auto" w:fill="FFFFFF"/>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验收时间</w:t>
            </w:r>
          </w:p>
        </w:tc>
        <w:tc>
          <w:tcPr>
            <w:tcW w:w="123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2022年8月前</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2023年4月</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2.5</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2</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由于疫情影响推迟进度</w:t>
            </w:r>
          </w:p>
        </w:tc>
      </w:tr>
      <w:tr>
        <w:tblPrEx>
          <w:tblCellMar>
            <w:top w:w="0" w:type="dxa"/>
            <w:left w:w="108" w:type="dxa"/>
            <w:bottom w:w="0" w:type="dxa"/>
            <w:right w:w="108" w:type="dxa"/>
          </w:tblCellMar>
        </w:tblPrEx>
        <w:trPr>
          <w:trHeight w:val="795" w:hRule="atLeast"/>
        </w:trPr>
        <w:tc>
          <w:tcPr>
            <w:tcW w:w="154"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color w:val="000000"/>
                <w:kern w:val="0"/>
                <w:szCs w:val="21"/>
              </w:rPr>
            </w:pPr>
          </w:p>
        </w:tc>
        <w:tc>
          <w:tcPr>
            <w:tcW w:w="242" w:type="pct"/>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256"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成本指标</w:t>
            </w:r>
          </w:p>
        </w:tc>
        <w:tc>
          <w:tcPr>
            <w:tcW w:w="1712" w:type="pct"/>
            <w:gridSpan w:val="3"/>
            <w:tcBorders>
              <w:top w:val="single" w:color="000000" w:sz="4" w:space="0"/>
              <w:left w:val="single" w:color="auto"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项目总体预算成本</w:t>
            </w:r>
          </w:p>
        </w:tc>
        <w:tc>
          <w:tcPr>
            <w:tcW w:w="123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成本控制在 426.924200万元以内</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控制在396万以内</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无</w:t>
            </w:r>
          </w:p>
        </w:tc>
      </w:tr>
      <w:tr>
        <w:tblPrEx>
          <w:tblCellMar>
            <w:top w:w="0" w:type="dxa"/>
            <w:left w:w="108" w:type="dxa"/>
            <w:bottom w:w="0" w:type="dxa"/>
            <w:right w:w="108" w:type="dxa"/>
          </w:tblCellMar>
        </w:tblPrEx>
        <w:trPr>
          <w:trHeight w:val="1035" w:hRule="atLeast"/>
        </w:trPr>
        <w:tc>
          <w:tcPr>
            <w:tcW w:w="154"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color w:val="000000"/>
                <w:kern w:val="0"/>
                <w:szCs w:val="21"/>
              </w:rPr>
            </w:pPr>
          </w:p>
        </w:tc>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效益指标</w:t>
            </w:r>
          </w:p>
        </w:tc>
        <w:tc>
          <w:tcPr>
            <w:tcW w:w="256" w:type="pct"/>
            <w:vMerge w:val="restart"/>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社会效益</w:t>
            </w:r>
          </w:p>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指标</w:t>
            </w:r>
          </w:p>
        </w:tc>
        <w:tc>
          <w:tcPr>
            <w:tcW w:w="171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服务于理学院三系一部每年400余学生和30余位老师71门课的课程开展与实践教学，用于培养具有高素质、宽适应性、实用性与专业性的应用型优秀人才，提高专业学生就业率</w:t>
            </w:r>
          </w:p>
        </w:tc>
        <w:tc>
          <w:tcPr>
            <w:tcW w:w="123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优良中低差</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预计达到良好以上</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7.5</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5.25</w:t>
            </w:r>
          </w:p>
        </w:tc>
        <w:tc>
          <w:tcPr>
            <w:tcW w:w="404" w:type="pct"/>
            <w:tcBorders>
              <w:top w:val="single" w:color="000000" w:sz="4" w:space="0"/>
              <w:left w:val="single" w:color="000000" w:sz="4" w:space="0"/>
              <w:bottom w:val="single" w:color="000000" w:sz="4" w:space="0"/>
              <w:right w:val="single" w:color="000000" w:sz="4" w:space="0"/>
            </w:tcBorders>
            <w:shd w:val="clear" w:color="auto" w:fill="auto"/>
          </w:tcPr>
          <w:p>
            <w:r>
              <w:rPr>
                <w:rFonts w:hint="eastAsia" w:ascii="仿宋_GB2312" w:hAnsi="宋体" w:eastAsia="仿宋_GB2312" w:cs="宋体"/>
                <w:color w:val="000000"/>
                <w:kern w:val="0"/>
                <w:szCs w:val="21"/>
              </w:rPr>
              <w:t>跨年实施项目，效益指标未充分发挥</w:t>
            </w:r>
          </w:p>
        </w:tc>
      </w:tr>
      <w:tr>
        <w:tblPrEx>
          <w:tblCellMar>
            <w:top w:w="0" w:type="dxa"/>
            <w:left w:w="108" w:type="dxa"/>
            <w:bottom w:w="0" w:type="dxa"/>
            <w:right w:w="108" w:type="dxa"/>
          </w:tblCellMar>
        </w:tblPrEx>
        <w:trPr>
          <w:trHeight w:val="1065" w:hRule="atLeast"/>
        </w:trPr>
        <w:tc>
          <w:tcPr>
            <w:tcW w:w="154"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color w:val="000000"/>
                <w:kern w:val="0"/>
                <w:szCs w:val="21"/>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256"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171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实验室内各系统设备达到平稳、高效运行，提升实验室的教学管理水平</w:t>
            </w:r>
          </w:p>
        </w:tc>
        <w:tc>
          <w:tcPr>
            <w:tcW w:w="123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优良中低差</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预计达到良好以上</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7.5</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5.25</w:t>
            </w:r>
          </w:p>
        </w:tc>
        <w:tc>
          <w:tcPr>
            <w:tcW w:w="404" w:type="pct"/>
            <w:tcBorders>
              <w:top w:val="single" w:color="000000" w:sz="4" w:space="0"/>
              <w:left w:val="single" w:color="000000" w:sz="4" w:space="0"/>
              <w:bottom w:val="single" w:color="000000" w:sz="4" w:space="0"/>
              <w:right w:val="single" w:color="000000" w:sz="4" w:space="0"/>
            </w:tcBorders>
            <w:shd w:val="clear" w:color="auto" w:fill="auto"/>
          </w:tcPr>
          <w:p>
            <w:r>
              <w:rPr>
                <w:rFonts w:hint="eastAsia" w:ascii="仿宋_GB2312" w:hAnsi="宋体" w:eastAsia="仿宋_GB2312" w:cs="宋体"/>
                <w:color w:val="000000"/>
                <w:kern w:val="0"/>
                <w:szCs w:val="21"/>
              </w:rPr>
              <w:t>跨年实施项目，效益指标未充分发挥</w:t>
            </w:r>
          </w:p>
        </w:tc>
      </w:tr>
      <w:tr>
        <w:tblPrEx>
          <w:tblCellMar>
            <w:top w:w="0" w:type="dxa"/>
            <w:left w:w="108" w:type="dxa"/>
            <w:bottom w:w="0" w:type="dxa"/>
            <w:right w:w="108" w:type="dxa"/>
          </w:tblCellMar>
        </w:tblPrEx>
        <w:trPr>
          <w:trHeight w:val="1170" w:hRule="atLeast"/>
        </w:trPr>
        <w:tc>
          <w:tcPr>
            <w:tcW w:w="154"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color w:val="000000"/>
                <w:kern w:val="0"/>
                <w:szCs w:val="21"/>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256" w:type="pct"/>
            <w:vMerge w:val="continue"/>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1712" w:type="pct"/>
            <w:gridSpan w:val="3"/>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本次建设所有系统设备采用高性价比一线品牌产品，且符合教学实践要求，服务年限</w:t>
            </w:r>
          </w:p>
        </w:tc>
        <w:tc>
          <w:tcPr>
            <w:tcW w:w="1238" w:type="pct"/>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服务年限不少于8年</w:t>
            </w:r>
          </w:p>
        </w:tc>
        <w:tc>
          <w:tcPr>
            <w:tcW w:w="391" w:type="pct"/>
            <w:tcBorders>
              <w:top w:val="single" w:color="000000" w:sz="4" w:space="0"/>
              <w:left w:val="single" w:color="000000" w:sz="4" w:space="0"/>
              <w:bottom w:val="single" w:color="auto" w:sz="4" w:space="0"/>
              <w:right w:val="single" w:color="000000"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服务年限不少于8年</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7.5</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5.25</w:t>
            </w:r>
          </w:p>
        </w:tc>
        <w:tc>
          <w:tcPr>
            <w:tcW w:w="404" w:type="pct"/>
            <w:tcBorders>
              <w:top w:val="single" w:color="000000" w:sz="4" w:space="0"/>
              <w:left w:val="single" w:color="000000" w:sz="4" w:space="0"/>
              <w:bottom w:val="single" w:color="000000" w:sz="4" w:space="0"/>
              <w:right w:val="single" w:color="000000" w:sz="4" w:space="0"/>
            </w:tcBorders>
            <w:shd w:val="clear" w:color="auto" w:fill="auto"/>
          </w:tcPr>
          <w:p>
            <w:r>
              <w:rPr>
                <w:rFonts w:hint="eastAsia" w:ascii="仿宋_GB2312" w:hAnsi="宋体" w:eastAsia="仿宋_GB2312" w:cs="宋体"/>
                <w:color w:val="000000"/>
                <w:kern w:val="0"/>
                <w:szCs w:val="21"/>
              </w:rPr>
              <w:t>跨年实施项目，效益指标未充分发挥</w:t>
            </w:r>
          </w:p>
        </w:tc>
      </w:tr>
      <w:tr>
        <w:tblPrEx>
          <w:tblCellMar>
            <w:top w:w="0" w:type="dxa"/>
            <w:left w:w="108" w:type="dxa"/>
            <w:bottom w:w="0" w:type="dxa"/>
            <w:right w:w="108" w:type="dxa"/>
          </w:tblCellMar>
        </w:tblPrEx>
        <w:trPr>
          <w:trHeight w:val="825" w:hRule="atLeast"/>
        </w:trPr>
        <w:tc>
          <w:tcPr>
            <w:tcW w:w="154"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color w:val="000000"/>
                <w:kern w:val="0"/>
                <w:szCs w:val="21"/>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256" w:type="pct"/>
            <w:tcBorders>
              <w:top w:val="single" w:color="auto" w:sz="4" w:space="0"/>
              <w:left w:val="single" w:color="000000" w:sz="4" w:space="0"/>
              <w:bottom w:val="single" w:color="000000" w:sz="4" w:space="0"/>
              <w:right w:val="single" w:color="auto"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可持续性指标</w:t>
            </w:r>
          </w:p>
        </w:tc>
        <w:tc>
          <w:tcPr>
            <w:tcW w:w="1712" w:type="pct"/>
            <w:gridSpan w:val="3"/>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项目持续影响教学，设备不淘汰，保证使用率，将直接对理学院的学生提供方便并产生积极影响</w:t>
            </w:r>
          </w:p>
        </w:tc>
        <w:tc>
          <w:tcPr>
            <w:tcW w:w="1238" w:type="pct"/>
            <w:tcBorders>
              <w:top w:val="single" w:color="auto" w:sz="4" w:space="0"/>
              <w:left w:val="single" w:color="000000" w:sz="4" w:space="0"/>
              <w:bottom w:val="single" w:color="auto"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项目持续影响教学6年以上</w:t>
            </w:r>
          </w:p>
        </w:tc>
        <w:tc>
          <w:tcPr>
            <w:tcW w:w="391" w:type="pct"/>
            <w:tcBorders>
              <w:top w:val="single" w:color="auto" w:sz="4" w:space="0"/>
              <w:left w:val="single" w:color="000000" w:sz="4" w:space="0"/>
              <w:bottom w:val="single" w:color="auto" w:sz="4" w:space="0"/>
              <w:right w:val="single" w:color="auto"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项目持续影响教学6年以上</w:t>
            </w:r>
          </w:p>
        </w:tc>
        <w:tc>
          <w:tcPr>
            <w:tcW w:w="233" w:type="pct"/>
            <w:tcBorders>
              <w:top w:val="single" w:color="000000" w:sz="4" w:space="0"/>
              <w:left w:val="single" w:color="auto"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7</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4.9</w:t>
            </w:r>
          </w:p>
        </w:tc>
        <w:tc>
          <w:tcPr>
            <w:tcW w:w="404" w:type="pct"/>
            <w:tcBorders>
              <w:top w:val="single" w:color="000000" w:sz="4" w:space="0"/>
              <w:left w:val="single" w:color="000000" w:sz="4" w:space="0"/>
              <w:bottom w:val="single" w:color="000000" w:sz="4" w:space="0"/>
              <w:right w:val="single" w:color="000000" w:sz="4" w:space="0"/>
            </w:tcBorders>
            <w:shd w:val="clear" w:color="auto" w:fill="auto"/>
          </w:tcPr>
          <w:p>
            <w:pP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跨年实施项目，效益指标未充分发挥</w:t>
            </w:r>
          </w:p>
        </w:tc>
      </w:tr>
      <w:tr>
        <w:tblPrEx>
          <w:tblCellMar>
            <w:top w:w="0" w:type="dxa"/>
            <w:left w:w="108" w:type="dxa"/>
            <w:bottom w:w="0" w:type="dxa"/>
            <w:right w:w="108" w:type="dxa"/>
          </w:tblCellMar>
        </w:tblPrEx>
        <w:trPr>
          <w:trHeight w:val="795" w:hRule="atLeast"/>
        </w:trPr>
        <w:tc>
          <w:tcPr>
            <w:tcW w:w="154"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color w:val="000000"/>
                <w:kern w:val="0"/>
                <w:szCs w:val="21"/>
              </w:rPr>
            </w:pPr>
          </w:p>
        </w:tc>
        <w:tc>
          <w:tcPr>
            <w:tcW w:w="24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满意度指标</w:t>
            </w:r>
          </w:p>
        </w:tc>
        <w:tc>
          <w:tcPr>
            <w:tcW w:w="25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服务对象</w:t>
            </w:r>
          </w:p>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满意度指标</w:t>
            </w:r>
          </w:p>
        </w:tc>
        <w:tc>
          <w:tcPr>
            <w:tcW w:w="1712" w:type="pct"/>
            <w:gridSpan w:val="3"/>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教师满意度</w:t>
            </w:r>
          </w:p>
        </w:tc>
        <w:tc>
          <w:tcPr>
            <w:tcW w:w="1238" w:type="pct"/>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90%以上</w:t>
            </w:r>
          </w:p>
        </w:tc>
        <w:tc>
          <w:tcPr>
            <w:tcW w:w="391" w:type="pct"/>
            <w:tcBorders>
              <w:top w:val="single" w:color="auto"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预计教师使用满意程度95%以上</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4</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项目跨年度实施，待项目完工后做满意度调查</w:t>
            </w:r>
          </w:p>
        </w:tc>
      </w:tr>
      <w:tr>
        <w:tblPrEx>
          <w:tblCellMar>
            <w:top w:w="0" w:type="dxa"/>
            <w:left w:w="108" w:type="dxa"/>
            <w:bottom w:w="0" w:type="dxa"/>
            <w:right w:w="108" w:type="dxa"/>
          </w:tblCellMar>
        </w:tblPrEx>
        <w:trPr>
          <w:trHeight w:val="570" w:hRule="atLeast"/>
        </w:trPr>
        <w:tc>
          <w:tcPr>
            <w:tcW w:w="154" w:type="pct"/>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pPr>
              <w:widowControl/>
              <w:spacing w:line="240" w:lineRule="exact"/>
              <w:jc w:val="center"/>
              <w:rPr>
                <w:rFonts w:ascii="仿宋_GB2312" w:hAnsi="宋体" w:eastAsia="仿宋_GB2312" w:cs="宋体"/>
                <w:color w:val="000000"/>
                <w:kern w:val="0"/>
                <w:szCs w:val="21"/>
              </w:rPr>
            </w:pPr>
          </w:p>
        </w:tc>
        <w:tc>
          <w:tcPr>
            <w:tcW w:w="24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25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c>
          <w:tcPr>
            <w:tcW w:w="171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学生满意度</w:t>
            </w:r>
          </w:p>
        </w:tc>
        <w:tc>
          <w:tcPr>
            <w:tcW w:w="123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90%以上</w:t>
            </w:r>
          </w:p>
        </w:tc>
        <w:tc>
          <w:tcPr>
            <w:tcW w:w="39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预计学生使用满意程度95%以上</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5</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4</w:t>
            </w:r>
          </w:p>
        </w:tc>
        <w:tc>
          <w:tcPr>
            <w:tcW w:w="40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left"/>
              <w:rPr>
                <w:rFonts w:ascii="仿宋_GB2312" w:hAnsi="宋体" w:eastAsia="仿宋_GB2312" w:cs="宋体"/>
                <w:color w:val="000000"/>
                <w:kern w:val="0"/>
                <w:szCs w:val="21"/>
              </w:rPr>
            </w:pPr>
            <w:r>
              <w:rPr>
                <w:rFonts w:hint="eastAsia" w:ascii="仿宋_GB2312" w:hAnsi="宋体" w:eastAsia="仿宋_GB2312" w:cs="宋体"/>
                <w:color w:val="000000"/>
                <w:kern w:val="0"/>
                <w:szCs w:val="21"/>
              </w:rPr>
              <w:t>项目跨年度实施，待项目完工后做满意度调查</w:t>
            </w:r>
          </w:p>
        </w:tc>
      </w:tr>
      <w:tr>
        <w:tblPrEx>
          <w:tblCellMar>
            <w:top w:w="0" w:type="dxa"/>
            <w:left w:w="108" w:type="dxa"/>
            <w:bottom w:w="0" w:type="dxa"/>
            <w:right w:w="108" w:type="dxa"/>
          </w:tblCellMar>
        </w:tblPrEx>
        <w:trPr>
          <w:trHeight w:val="481" w:hRule="atLeast"/>
        </w:trPr>
        <w:tc>
          <w:tcPr>
            <w:tcW w:w="3993"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总分</w:t>
            </w:r>
          </w:p>
        </w:tc>
        <w:tc>
          <w:tcPr>
            <w:tcW w:w="23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100</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r>
              <w:rPr>
                <w:rFonts w:hint="eastAsia" w:ascii="仿宋_GB2312" w:hAnsi="宋体" w:eastAsia="仿宋_GB2312" w:cs="宋体"/>
                <w:color w:val="000000"/>
                <w:kern w:val="0"/>
                <w:szCs w:val="21"/>
              </w:rPr>
              <w:t>84.15</w:t>
            </w:r>
          </w:p>
        </w:tc>
        <w:tc>
          <w:tcPr>
            <w:tcW w:w="404" w:type="pct"/>
            <w:tcBorders>
              <w:top w:val="single" w:color="000000" w:sz="4" w:space="0"/>
              <w:left w:val="nil"/>
              <w:bottom w:val="single" w:color="000000" w:sz="4" w:space="0"/>
              <w:right w:val="single" w:color="000000" w:sz="4" w:space="0"/>
            </w:tcBorders>
            <w:shd w:val="clear" w:color="auto" w:fill="auto"/>
            <w:vAlign w:val="center"/>
          </w:tcPr>
          <w:p>
            <w:pPr>
              <w:widowControl/>
              <w:spacing w:line="240" w:lineRule="exact"/>
              <w:jc w:val="center"/>
              <w:rPr>
                <w:rFonts w:ascii="仿宋_GB2312" w:hAnsi="宋体" w:eastAsia="仿宋_GB2312" w:cs="宋体"/>
                <w:color w:val="000000"/>
                <w:kern w:val="0"/>
                <w:szCs w:val="21"/>
              </w:rPr>
            </w:pPr>
          </w:p>
        </w:tc>
      </w:tr>
    </w:tbl>
    <w:p>
      <w:pPr>
        <w:widowControl/>
        <w:spacing w:line="240" w:lineRule="exact"/>
        <w:rPr>
          <w:rFonts w:hint="eastAsia" w:ascii="仿宋_GB2312" w:hAnsi="宋体" w:eastAsia="仿宋_GB2312" w:cs="宋体"/>
          <w:color w:val="000000"/>
          <w:kern w:val="0"/>
          <w:szCs w:val="21"/>
        </w:rPr>
      </w:pPr>
    </w:p>
    <w:sectPr>
      <w:footerReference r:id="rId3" w:type="default"/>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5</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yYTFhY2FhY2RjN2E2ZjE5YjM5MTEwYTMzNTI3ZmUifQ=="/>
  </w:docVars>
  <w:rsids>
    <w:rsidRoot w:val="1CFF1E77"/>
    <w:rsid w:val="000E6394"/>
    <w:rsid w:val="004400ED"/>
    <w:rsid w:val="00592863"/>
    <w:rsid w:val="005C5D4C"/>
    <w:rsid w:val="007F3637"/>
    <w:rsid w:val="00832796"/>
    <w:rsid w:val="00886B50"/>
    <w:rsid w:val="009E65E9"/>
    <w:rsid w:val="070F64DF"/>
    <w:rsid w:val="0E1F548C"/>
    <w:rsid w:val="0E707886"/>
    <w:rsid w:val="1A09059B"/>
    <w:rsid w:val="1CFF1E77"/>
    <w:rsid w:val="1FF1595F"/>
    <w:rsid w:val="27493D1A"/>
    <w:rsid w:val="2BBB6EB8"/>
    <w:rsid w:val="4DCC274C"/>
    <w:rsid w:val="4F7F6DE5"/>
    <w:rsid w:val="56F755F4"/>
    <w:rsid w:val="66160A70"/>
    <w:rsid w:val="666D6F86"/>
    <w:rsid w:val="70657173"/>
    <w:rsid w:val="723565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rPr>
  </w:style>
  <w:style w:type="paragraph" w:styleId="3">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font151"/>
    <w:basedOn w:val="5"/>
    <w:qFormat/>
    <w:uiPriority w:val="0"/>
    <w:rPr>
      <w:rFonts w:ascii="仿宋_GB2312" w:eastAsia="仿宋_GB2312" w:cs="仿宋_GB2312"/>
      <w:color w:val="000000"/>
      <w:sz w:val="22"/>
      <w:szCs w:val="22"/>
      <w:u w:val="none"/>
    </w:rPr>
  </w:style>
  <w:style w:type="character" w:customStyle="1" w:styleId="7">
    <w:name w:val="font71"/>
    <w:basedOn w:val="5"/>
    <w:qFormat/>
    <w:uiPriority w:val="0"/>
    <w:rPr>
      <w:rFonts w:hint="default" w:ascii="Times New Roman" w:hAnsi="Times New Roman" w:cs="Times New Roman"/>
      <w:color w:val="000000"/>
      <w:sz w:val="22"/>
      <w:szCs w:val="22"/>
      <w:u w:val="none"/>
    </w:rPr>
  </w:style>
  <w:style w:type="character" w:customStyle="1" w:styleId="8">
    <w:name w:val="font161"/>
    <w:basedOn w:val="5"/>
    <w:autoRedefine/>
    <w:qFormat/>
    <w:uiPriority w:val="0"/>
    <w:rPr>
      <w:rFonts w:hint="default" w:ascii="Times New Roman" w:hAnsi="Times New Roman" w:cs="Times New Roman"/>
      <w:color w:val="000000"/>
      <w:sz w:val="20"/>
      <w:szCs w:val="20"/>
      <w:u w:val="none"/>
    </w:rPr>
  </w:style>
  <w:style w:type="character" w:customStyle="1" w:styleId="9">
    <w:name w:val="font51"/>
    <w:basedOn w:val="5"/>
    <w:autoRedefine/>
    <w:qFormat/>
    <w:uiPriority w:val="0"/>
    <w:rPr>
      <w:rFonts w:hint="eastAsia" w:ascii="宋体" w:hAnsi="宋体" w:eastAsia="宋体" w:cs="宋体"/>
      <w:color w:val="000000"/>
      <w:sz w:val="20"/>
      <w:szCs w:val="20"/>
      <w:u w:val="none"/>
    </w:rPr>
  </w:style>
  <w:style w:type="character" w:customStyle="1" w:styleId="10">
    <w:name w:val="font61"/>
    <w:basedOn w:val="5"/>
    <w:autoRedefine/>
    <w:qFormat/>
    <w:uiPriority w:val="0"/>
    <w:rPr>
      <w:rFonts w:hint="eastAsia" w:ascii="宋体" w:hAnsi="宋体" w:eastAsia="宋体" w:cs="宋体"/>
      <w:color w:val="000000"/>
      <w:sz w:val="20"/>
      <w:szCs w:val="20"/>
      <w:u w:val="none"/>
    </w:rPr>
  </w:style>
  <w:style w:type="character" w:customStyle="1" w:styleId="11">
    <w:name w:val="font81"/>
    <w:basedOn w:val="5"/>
    <w:autoRedefine/>
    <w:qFormat/>
    <w:uiPriority w:val="0"/>
    <w:rPr>
      <w:rFonts w:hint="default" w:ascii="Times New Roman" w:hAnsi="Times New Roman" w:cs="Times New Roman"/>
      <w:color w:val="000000"/>
      <w:sz w:val="20"/>
      <w:szCs w:val="20"/>
      <w:u w:val="none"/>
    </w:rPr>
  </w:style>
  <w:style w:type="character" w:customStyle="1" w:styleId="12">
    <w:name w:val="font31"/>
    <w:basedOn w:val="5"/>
    <w:autoRedefine/>
    <w:qFormat/>
    <w:uiPriority w:val="0"/>
    <w:rPr>
      <w:rFonts w:hint="default" w:ascii="Times New Roman" w:hAnsi="Times New Roman" w:cs="Times New Roman"/>
      <w:color w:val="000000"/>
      <w:sz w:val="20"/>
      <w:szCs w:val="20"/>
      <w:u w:val="none"/>
    </w:rPr>
  </w:style>
  <w:style w:type="character" w:customStyle="1" w:styleId="13">
    <w:name w:val="font101"/>
    <w:basedOn w:val="5"/>
    <w:autoRedefine/>
    <w:qFormat/>
    <w:uiPriority w:val="0"/>
    <w:rPr>
      <w:rFonts w:hint="default" w:ascii="Times New Roman" w:hAnsi="Times New Roman" w:cs="Times New Roman"/>
      <w:color w:val="000000"/>
      <w:sz w:val="18"/>
      <w:szCs w:val="18"/>
      <w:u w:val="none"/>
    </w:rPr>
  </w:style>
  <w:style w:type="character" w:customStyle="1" w:styleId="14">
    <w:name w:val="font112"/>
    <w:basedOn w:val="5"/>
    <w:autoRedefine/>
    <w:qFormat/>
    <w:uiPriority w:val="0"/>
    <w:rPr>
      <w:rFonts w:hint="eastAsia" w:ascii="宋体" w:hAnsi="宋体" w:eastAsia="宋体" w:cs="宋体"/>
      <w:color w:val="000000"/>
      <w:sz w:val="20"/>
      <w:szCs w:val="20"/>
      <w:u w:val="none"/>
    </w:rPr>
  </w:style>
  <w:style w:type="character" w:customStyle="1" w:styleId="15">
    <w:name w:val="font91"/>
    <w:basedOn w:val="5"/>
    <w:autoRedefine/>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355</Words>
  <Characters>2025</Characters>
  <Lines>16</Lines>
  <Paragraphs>4</Paragraphs>
  <TotalTime>9</TotalTime>
  <ScaleCrop>false</ScaleCrop>
  <LinksUpToDate>false</LinksUpToDate>
  <CharactersWithSpaces>2376</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2023-05-10T10:02:00Z</dcterms:created>
  <dc:creator>给我一树樱花吧</dc:creator>
  <cp:lastModifiedBy>苏坡云☁️</cp:lastModifiedBy>
  <cp:lastPrinted>2023-05-10T12:31:00Z</cp:lastPrinted>
  <dcterms:modified xsi:type="dcterms:W3CDTF">2024-02-21T07:20:16Z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C36A0D34D13B41B4A1E0B15432E0E3BA_11</vt:lpwstr>
  </property>
</Properties>
</file>