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7" w:type="pct"/>
        <w:tblInd w:w="0" w:type="dxa"/>
        <w:tblLayout w:type="autofit"/>
        <w:tblCellMar>
          <w:top w:w="0" w:type="dxa"/>
          <w:left w:w="108" w:type="dxa"/>
          <w:bottom w:w="0" w:type="dxa"/>
          <w:right w:w="108" w:type="dxa"/>
        </w:tblCellMar>
      </w:tblPr>
      <w:tblGrid>
        <w:gridCol w:w="736"/>
        <w:gridCol w:w="848"/>
        <w:gridCol w:w="1123"/>
        <w:gridCol w:w="675"/>
        <w:gridCol w:w="1734"/>
        <w:gridCol w:w="2735"/>
        <w:gridCol w:w="2355"/>
        <w:gridCol w:w="273"/>
        <w:gridCol w:w="386"/>
        <w:gridCol w:w="422"/>
        <w:gridCol w:w="324"/>
        <w:gridCol w:w="1097"/>
        <w:gridCol w:w="1457"/>
      </w:tblGrid>
      <w:tr>
        <w:tblPrEx>
          <w:tblCellMar>
            <w:top w:w="0" w:type="dxa"/>
            <w:left w:w="108" w:type="dxa"/>
            <w:bottom w:w="0" w:type="dxa"/>
            <w:right w:w="108" w:type="dxa"/>
          </w:tblCellMar>
        </w:tblPrEx>
        <w:trPr>
          <w:trHeight w:val="352" w:hRule="atLeast"/>
        </w:trPr>
        <w:tc>
          <w:tcPr>
            <w:tcW w:w="1201" w:type="pct"/>
            <w:gridSpan w:val="4"/>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4"/>
              </w:rPr>
            </w:pPr>
            <w:bookmarkStart w:id="0" w:name="_GoBack"/>
            <w:bookmarkEnd w:id="0"/>
          </w:p>
        </w:tc>
        <w:tc>
          <w:tcPr>
            <w:tcW w:w="614" w:type="pct"/>
            <w:tcBorders>
              <w:top w:val="nil"/>
              <w:left w:val="nil"/>
              <w:bottom w:val="nil"/>
              <w:right w:val="nil"/>
            </w:tcBorders>
            <w:shd w:val="clear" w:color="auto" w:fill="auto"/>
            <w:noWrap/>
            <w:vAlign w:val="center"/>
          </w:tcPr>
          <w:p>
            <w:pPr>
              <w:jc w:val="left"/>
              <w:rPr>
                <w:rFonts w:ascii="宋体" w:hAnsi="宋体" w:eastAsia="宋体" w:cs="宋体"/>
                <w:color w:val="000000"/>
                <w:sz w:val="24"/>
              </w:rPr>
            </w:pPr>
          </w:p>
        </w:tc>
        <w:tc>
          <w:tcPr>
            <w:tcW w:w="967"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2"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98"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38"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38"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05"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389"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13" w:type="pct"/>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r>
      <w:tr>
        <w:tblPrEx>
          <w:tblCellMar>
            <w:top w:w="0" w:type="dxa"/>
            <w:left w:w="108" w:type="dxa"/>
            <w:bottom w:w="0" w:type="dxa"/>
            <w:right w:w="108" w:type="dxa"/>
          </w:tblCellMar>
        </w:tblPrEx>
        <w:trPr>
          <w:trHeight w:val="376" w:hRule="atLeast"/>
        </w:trPr>
        <w:tc>
          <w:tcPr>
            <w:tcW w:w="5000" w:type="pct"/>
            <w:gridSpan w:val="13"/>
            <w:tcBorders>
              <w:top w:val="nil"/>
              <w:left w:val="nil"/>
              <w:bottom w:val="nil"/>
              <w:right w:val="nil"/>
            </w:tcBorders>
            <w:shd w:val="clear" w:color="auto" w:fill="auto"/>
            <w:vAlign w:val="center"/>
          </w:tcPr>
          <w:p>
            <w:pPr>
              <w:widowControl/>
              <w:jc w:val="center"/>
              <w:textAlignment w:val="center"/>
              <w:rPr>
                <w:rFonts w:ascii="方正小标宋简体" w:hAnsi="方正小标宋简体" w:eastAsia="方正小标宋简体" w:cs="方正小标宋简体"/>
                <w:b/>
                <w:bCs/>
                <w:color w:val="000000"/>
                <w:sz w:val="32"/>
                <w:szCs w:val="32"/>
              </w:rPr>
            </w:pPr>
            <w:r>
              <w:rPr>
                <w:rFonts w:ascii="方正小标宋简体" w:hAnsi="方正小标宋简体" w:eastAsia="方正小标宋简体" w:cs="方正小标宋简体"/>
                <w:b/>
                <w:bCs/>
                <w:color w:val="000000"/>
                <w:kern w:val="0"/>
                <w:sz w:val="32"/>
                <w:szCs w:val="32"/>
                <w:lang w:bidi="ar"/>
              </w:rPr>
              <w:t>项目支出绩效自评表</w:t>
            </w:r>
          </w:p>
        </w:tc>
      </w:tr>
      <w:tr>
        <w:tblPrEx>
          <w:tblCellMar>
            <w:top w:w="0" w:type="dxa"/>
            <w:left w:w="108" w:type="dxa"/>
            <w:bottom w:w="0" w:type="dxa"/>
            <w:right w:w="108" w:type="dxa"/>
          </w:tblCellMar>
        </w:tblPrEx>
        <w:trPr>
          <w:trHeight w:val="336" w:hRule="atLeast"/>
        </w:trPr>
        <w:tc>
          <w:tcPr>
            <w:tcW w:w="5000" w:type="pct"/>
            <w:gridSpan w:val="13"/>
            <w:tcBorders>
              <w:top w:val="nil"/>
              <w:left w:val="nil"/>
              <w:bottom w:val="nil"/>
              <w:right w:val="nil"/>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（202</w:t>
            </w:r>
            <w:r>
              <w:rPr>
                <w:rFonts w:ascii="宋体" w:hAnsi="宋体" w:eastAsia="宋体" w:cs="宋体"/>
                <w:color w:val="000000"/>
                <w:kern w:val="0"/>
                <w:sz w:val="22"/>
                <w:szCs w:val="22"/>
                <w:lang w:bidi="ar"/>
              </w:rPr>
              <w:t>2</w:t>
            </w:r>
            <w:r>
              <w:rPr>
                <w:rFonts w:hint="eastAsia" w:ascii="宋体" w:hAnsi="宋体" w:eastAsia="宋体" w:cs="宋体"/>
                <w:color w:val="000000"/>
                <w:kern w:val="0"/>
                <w:sz w:val="22"/>
                <w:szCs w:val="22"/>
                <w:lang w:bidi="ar"/>
              </w:rPr>
              <w:t>年度）</w:t>
            </w:r>
          </w:p>
        </w:tc>
      </w:tr>
      <w:tr>
        <w:tblPrEx>
          <w:tblCellMar>
            <w:top w:w="0" w:type="dxa"/>
            <w:left w:w="108" w:type="dxa"/>
            <w:bottom w:w="0" w:type="dxa"/>
            <w:right w:w="108" w:type="dxa"/>
          </w:tblCellMar>
        </w:tblPrEx>
        <w:trPr>
          <w:trHeight w:val="336" w:hRule="atLeast"/>
        </w:trPr>
        <w:tc>
          <w:tcPr>
            <w:tcW w:w="262"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301" w:type="pct"/>
            <w:tcBorders>
              <w:top w:val="nil"/>
              <w:left w:val="nil"/>
              <w:bottom w:val="nil"/>
              <w:right w:val="nil"/>
            </w:tcBorders>
            <w:shd w:val="clear" w:color="auto" w:fill="auto"/>
            <w:vAlign w:val="center"/>
          </w:tcPr>
          <w:p>
            <w:pPr>
              <w:jc w:val="center"/>
              <w:rPr>
                <w:rFonts w:ascii="宋体" w:hAnsi="宋体" w:eastAsia="宋体" w:cs="宋体"/>
                <w:color w:val="000000"/>
                <w:sz w:val="22"/>
                <w:szCs w:val="22"/>
              </w:rPr>
            </w:pPr>
          </w:p>
        </w:tc>
        <w:tc>
          <w:tcPr>
            <w:tcW w:w="398"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239"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614"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967"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832"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98"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38"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38"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105"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389"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c>
          <w:tcPr>
            <w:tcW w:w="513" w:type="pct"/>
            <w:tcBorders>
              <w:top w:val="nil"/>
              <w:left w:val="nil"/>
              <w:bottom w:val="nil"/>
              <w:right w:val="nil"/>
            </w:tcBorders>
            <w:shd w:val="clear" w:color="auto" w:fill="auto"/>
            <w:vAlign w:val="center"/>
          </w:tcPr>
          <w:p>
            <w:pPr>
              <w:jc w:val="left"/>
              <w:rPr>
                <w:rFonts w:ascii="宋体" w:hAnsi="宋体" w:eastAsia="宋体" w:cs="宋体"/>
                <w:color w:val="000000"/>
                <w:sz w:val="22"/>
                <w:szCs w:val="22"/>
              </w:rPr>
            </w:pPr>
          </w:p>
        </w:tc>
      </w:tr>
      <w:tr>
        <w:tblPrEx>
          <w:tblCellMar>
            <w:top w:w="0" w:type="dxa"/>
            <w:left w:w="108" w:type="dxa"/>
            <w:bottom w:w="0" w:type="dxa"/>
            <w:right w:w="108" w:type="dxa"/>
          </w:tblCellMar>
        </w:tblPrEx>
        <w:trPr>
          <w:trHeight w:val="336" w:hRule="atLeast"/>
        </w:trPr>
        <w:tc>
          <w:tcPr>
            <w:tcW w:w="5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36"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11000022T000000424858-教师队伍建设-青年拔尖</w:t>
            </w:r>
          </w:p>
        </w:tc>
      </w:tr>
      <w:tr>
        <w:tblPrEx>
          <w:tblCellMar>
            <w:top w:w="0" w:type="dxa"/>
            <w:left w:w="108" w:type="dxa"/>
            <w:bottom w:w="0" w:type="dxa"/>
            <w:right w:w="108" w:type="dxa"/>
          </w:tblCellMar>
        </w:tblPrEx>
        <w:trPr>
          <w:trHeight w:val="336" w:hRule="atLeast"/>
        </w:trPr>
        <w:tc>
          <w:tcPr>
            <w:tcW w:w="5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21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2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北方工业大学</w:t>
            </w:r>
          </w:p>
        </w:tc>
      </w:tr>
      <w:tr>
        <w:tblPrEx>
          <w:tblCellMar>
            <w:top w:w="0" w:type="dxa"/>
            <w:left w:w="108" w:type="dxa"/>
            <w:bottom w:w="0" w:type="dxa"/>
            <w:right w:w="108" w:type="dxa"/>
          </w:tblCellMar>
        </w:tblPrEx>
        <w:trPr>
          <w:trHeight w:val="336" w:hRule="atLeast"/>
        </w:trPr>
        <w:tc>
          <w:tcPr>
            <w:tcW w:w="5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221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谢朝阳</w:t>
            </w: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12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88803520</w:t>
            </w:r>
          </w:p>
        </w:tc>
      </w:tr>
      <w:tr>
        <w:tblPrEx>
          <w:tblCellMar>
            <w:top w:w="0" w:type="dxa"/>
            <w:left w:w="108" w:type="dxa"/>
            <w:bottom w:w="0" w:type="dxa"/>
            <w:right w:w="108" w:type="dxa"/>
          </w:tblCellMar>
        </w:tblPrEx>
        <w:trPr>
          <w:trHeight w:val="560" w:hRule="atLeast"/>
        </w:trPr>
        <w:tc>
          <w:tcPr>
            <w:tcW w:w="56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w:t>
            </w:r>
            <w:r>
              <w:rPr>
                <w:rStyle w:val="4"/>
                <w:rFonts w:hAnsi="宋体"/>
                <w:lang w:bidi="ar"/>
              </w:rPr>
              <w:t>目资金</w:t>
            </w:r>
            <w:r>
              <w:rPr>
                <w:rStyle w:val="4"/>
                <w:rFonts w:hAnsi="宋体"/>
                <w:lang w:bidi="ar"/>
              </w:rPr>
              <w:br w:type="textWrapping"/>
            </w:r>
            <w:r>
              <w:rPr>
                <w:rStyle w:val="4"/>
                <w:rFonts w:hAnsi="宋体"/>
                <w:lang w:bidi="ar"/>
              </w:rPr>
              <w:t>（万元）</w:t>
            </w: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w:t>
            </w:r>
            <w:r>
              <w:rPr>
                <w:rStyle w:val="4"/>
                <w:rFonts w:hAnsi="宋体"/>
                <w:lang w:bidi="ar"/>
              </w:rPr>
              <w:t>预算数</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w:t>
            </w:r>
            <w:r>
              <w:rPr>
                <w:rStyle w:val="4"/>
                <w:rFonts w:hAnsi="宋体"/>
                <w:lang w:bidi="ar"/>
              </w:rPr>
              <w:t>预算数</w:t>
            </w: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2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336" w:hRule="atLeast"/>
        </w:trPr>
        <w:tc>
          <w:tcPr>
            <w:tcW w:w="5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125.919650 </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108.882420</w:t>
            </w: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107.281919 </w:t>
            </w:r>
          </w:p>
        </w:tc>
        <w:tc>
          <w:tcPr>
            <w:tcW w:w="2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98.53%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9.85</w:t>
            </w:r>
          </w:p>
        </w:tc>
      </w:tr>
      <w:tr>
        <w:tblPrEx>
          <w:tblCellMar>
            <w:top w:w="0" w:type="dxa"/>
            <w:left w:w="108" w:type="dxa"/>
            <w:bottom w:w="0" w:type="dxa"/>
            <w:right w:w="108" w:type="dxa"/>
          </w:tblCellMar>
        </w:tblPrEx>
        <w:trPr>
          <w:trHeight w:val="280" w:hRule="atLeast"/>
        </w:trPr>
        <w:tc>
          <w:tcPr>
            <w:tcW w:w="5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w:t>
            </w:r>
            <w:r>
              <w:rPr>
                <w:rStyle w:val="4"/>
                <w:rFonts w:hAnsi="宋体"/>
                <w:lang w:bidi="ar"/>
              </w:rPr>
              <w:t>当年财政拨款</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125.919650 </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108.882420 </w:t>
            </w: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107.281919 </w:t>
            </w:r>
          </w:p>
        </w:tc>
        <w:tc>
          <w:tcPr>
            <w:tcW w:w="2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98.53%</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5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5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61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262" w:type="pct"/>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52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21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5288" w:hRule="atLeast"/>
        </w:trPr>
        <w:tc>
          <w:tcPr>
            <w:tcW w:w="262"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252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 本课题主要针对智能驾驶与人工驾驶混和条件下，车辆跟驰行驶过程中的运行特征进行研究；提出不同等级智能车辆混行条件下的跟驰行驶安全评价方法；建立驾驶仿真与交通仿真联合仿真的技术方法。</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年度目标：建立驾驶仿真与交通仿真联合仿真的技术方法。</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2 本项目首先，构建出对Birkhoff系统进行对称性约化的一般性流程；其次，将特定的力学系统纳入到Birkhoff系统的框架下，进而利用Birkhoff系统的约化理论分析力学系统潜在的动力学特征；最后利用Birkhoff系统的对称性约化理论，有效降低数值求解最优控制问题的复杂性，并能够指导如何求解全局最优控制。</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 年度目标：利用李群以及李群作用的不变性整体描述Birkhoff系统的对称性，基于对称性进一步将位形空间上的Birkhoff方程约化为商空间上的动力学方程，即给出约化后Birkhoff方程的一般形式。</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3 提出基于心率变异性及手部动作的驾驶疲劳及不良驾驶行为识别方法；构建基于大数据分析及多模式融合的驾驶人个体差异性风险评估方法。</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4 项目的研究目标是基于小样本的个体再识别问题，本项目将重点构造一个具有小样本分布特征的类似于认证识别的数据集，同时研究适用于小样本数据的深度网络模型和人证比对算法。</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年度目标：2019.01-2019.12 构建人证比对数据集，分析大型人脸数据集的构建流程，进行数据集的规范化等2020.01-2020.12 分析传统人脸识别算法在小样本人脸数据的条件下所存在的问题， 针对小样本数据设计相关网络结构以及损失函数，并进行比对研究 2021.01-2021.12 分析研究人证比对和人脸验证之间的场景差异和理论算法差异，进行人证比对算法实现研究，总结对比</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5 本项目研究的总目标是探索引导区域职住空间均衡分布、优化土地利用安全格局的规划设计对策，通过对不同时段（重点是通勤时段）轨道出行“大数据”的跟踪监测，以及现场调查“微数据”的分析整合，寻找平衡有效的总体规划策略及动态调控方法。                年度目标：梳理以职住为核心的流动空间随轨道网络快速拓展而出现的再组织特征与演化规律，为区域土地利用安全格局的模拟预测及规划调控政策的制定提供理论支撑。</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6 本项目将以钙钛矿材料LaCrO3为基础，构建高质量的外延薄膜器件，期望进一步澄清RCrO3体系中磁化翻转行为的具体根源及更深层次的物理机制，并通过应力实现对此行为的精细调控，为实现该类材料的实际应用提供实验支持。</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年度目标：经过探索及其优化制备工艺，制备出高质量的RCrO3单晶外延薄膜，并对薄膜进行改良设计以得到所需样品，并对其基本性能进行测试研究。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7 在国内外学术期刊发表论文2篇；指导学生竞赛获奖等1项；与城市环境、风景园林相关院校、设计院等同行专家交流；进行专业技术实验与测试实验1次。</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8 建立绕组开路永磁同步电机的分析和控制方法；研究高容错绕组开路永磁同步电机系统控制策略，抑制零序电流、拓宽电机转速运行范围、提高系统运行安全性。</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年度目标：建立绕组开路永磁同步电机的分析和控制方法；研究高容错绕组开路永磁同步电机系统控制策略。</w:t>
            </w:r>
          </w:p>
        </w:tc>
        <w:tc>
          <w:tcPr>
            <w:tcW w:w="221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杨坤一：1、 发表4篇学术论文，其中，1篇SCI检索，3篇EI检索。完成1篇学术论文，已投稿。2、 培养研究生5名，其中，1名研究生毕业，并获校级优秀硕士学位论文，另4名研究生在读。</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谢亮：发表3篇科技论文</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阎昱：目标1：多场基础试验设计及实施，已完成；  目标2： 基于有限元模拟完成材料变形规律的分析，已完成； 目标3：发表学术论文1篇，录用学术论文1篇，完成学术论文定稿1篇，完成学术论文初稿1篇，国家发明专利授权1项，软件著作权授权1项，超额完成。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杨鑫：1、发表论文14篇，其中核心期刊CSCD检索2篇，EI会议1篇，英文期刊8篇，专业期刊3篇。2、培养硕士研究生4名。3、参加学术会议20余次，发言4次。4、进行气候环境试验1次。</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孔新雷：2022年度,本项目将基于路径的变分积分子应用于力学系统的最优控制问题,发展了一种新的数值求解最优控制问题的方法,该方法具有精度高、收敛快等优点。对于线性化和非线性的龙门吊车吊运问题，该方法都能够有效解决。相关的研究成果在国际会议ICDVC2023上报告并投稿至SCI期刊OPTIMAL CONTROL APPLICATIONS &amp; METHODS</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张晓光：建立绕组开路永磁同步电机四段式调制方法；研究绕组开路永磁同步电机系统控制策略.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刘蕾：目标1：发表学术论文4篇；目标2：参加2次学术会议（中国自动化大会CAC2022；数据驱动控制与学习系统会议DDCLS2022）。</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崔光耀：发表高水平学术论文4篇；培养硕士研究生1名。</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李琛：发表、录用论文4篇；参加学术会议1次；提交软著3项；培养研究生2人；</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郭伟伟：已完成基于联合仿真开发人机共驾的接入管理测试场景。</w:t>
            </w:r>
          </w:p>
        </w:tc>
      </w:tr>
      <w:tr>
        <w:tblPrEx>
          <w:tblCellMar>
            <w:top w:w="0" w:type="dxa"/>
            <w:left w:w="108" w:type="dxa"/>
            <w:bottom w:w="0" w:type="dxa"/>
            <w:right w:w="108" w:type="dxa"/>
          </w:tblCellMar>
        </w:tblPrEx>
        <w:trPr>
          <w:trHeight w:val="560" w:hRule="atLeast"/>
        </w:trPr>
        <w:tc>
          <w:tcPr>
            <w:tcW w:w="262" w:type="pct"/>
            <w:vMerge w:val="restart"/>
            <w:tcBorders>
              <w:top w:val="single" w:color="000000" w:sz="4" w:space="0"/>
              <w:left w:val="single" w:color="000000" w:sz="4" w:space="0"/>
              <w:bottom w:val="nil"/>
              <w:right w:val="single" w:color="000000" w:sz="4" w:space="0"/>
            </w:tcBorders>
            <w:shd w:val="clear" w:color="auto" w:fill="auto"/>
            <w:textDirection w:val="tbRlV"/>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w:t>
            </w:r>
            <w:r>
              <w:rPr>
                <w:rStyle w:val="4"/>
                <w:rFonts w:hAnsi="宋体"/>
                <w:lang w:bidi="ar"/>
              </w:rPr>
              <w:t>进措施</w:t>
            </w:r>
          </w:p>
        </w:tc>
      </w:tr>
      <w:tr>
        <w:tblPrEx>
          <w:tblCellMar>
            <w:top w:w="0" w:type="dxa"/>
            <w:left w:w="108" w:type="dxa"/>
            <w:bottom w:w="0" w:type="dxa"/>
            <w:right w:w="108" w:type="dxa"/>
          </w:tblCellMar>
        </w:tblPrEx>
        <w:trPr>
          <w:trHeight w:val="102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发表学术论文</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45</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实际完成值与年度指标值差距较大，目标合理性不足；改进措施：提高目标科学性和合理性</w:t>
            </w:r>
          </w:p>
        </w:tc>
      </w:tr>
      <w:tr>
        <w:tblPrEx>
          <w:tblCellMar>
            <w:top w:w="0" w:type="dxa"/>
            <w:left w:w="108" w:type="dxa"/>
            <w:bottom w:w="0" w:type="dxa"/>
            <w:right w:w="108" w:type="dxa"/>
          </w:tblCellMar>
        </w:tblPrEx>
        <w:trPr>
          <w:trHeight w:val="52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申请专利</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lang w:eastAsia="zh-Hans"/>
              </w:rPr>
            </w:pPr>
            <w:r>
              <w:rPr>
                <w:rFonts w:hint="eastAsia" w:ascii="仿宋_GB2312" w:hAnsi="宋体" w:eastAsia="仿宋_GB2312" w:cs="仿宋_GB2312"/>
                <w:color w:val="000000"/>
                <w:szCs w:val="21"/>
                <w:lang w:eastAsia="zh-Hans"/>
              </w:rPr>
              <w:t>无</w:t>
            </w:r>
          </w:p>
        </w:tc>
      </w:tr>
      <w:tr>
        <w:tblPrEx>
          <w:tblCellMar>
            <w:top w:w="0" w:type="dxa"/>
            <w:left w:w="108" w:type="dxa"/>
            <w:bottom w:w="0" w:type="dxa"/>
            <w:right w:w="108" w:type="dxa"/>
          </w:tblCellMar>
        </w:tblPrEx>
        <w:trPr>
          <w:trHeight w:val="100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方法有效性</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驾驶疲劳筛查识别率超过60%</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质量指标完整性不足，仅设定了项目中的一项研究，不能涵盖整个项目；改进措施：提高目标科学性和合理性</w:t>
            </w:r>
          </w:p>
        </w:tc>
      </w:tr>
      <w:tr>
        <w:tblPrEx>
          <w:tblCellMar>
            <w:top w:w="0" w:type="dxa"/>
            <w:left w:w="108" w:type="dxa"/>
            <w:bottom w:w="0" w:type="dxa"/>
            <w:right w:w="108" w:type="dxa"/>
          </w:tblCellMar>
        </w:tblPrEx>
        <w:trPr>
          <w:trHeight w:val="48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10月底前支出率</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按照进度完成预算支出</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eastAsia="zh-Hans"/>
              </w:rPr>
              <w:t>无</w:t>
            </w:r>
          </w:p>
        </w:tc>
      </w:tr>
      <w:tr>
        <w:tblPrEx>
          <w:tblCellMar>
            <w:top w:w="0" w:type="dxa"/>
            <w:left w:w="108" w:type="dxa"/>
            <w:bottom w:w="0" w:type="dxa"/>
            <w:right w:w="108" w:type="dxa"/>
          </w:tblCellMar>
        </w:tblPrEx>
        <w:trPr>
          <w:trHeight w:val="43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年度总成本</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125.919650 </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107.281919</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eastAsia="zh-Hans"/>
              </w:rPr>
              <w:t>无</w:t>
            </w:r>
          </w:p>
        </w:tc>
      </w:tr>
      <w:tr>
        <w:tblPrEx>
          <w:tblCellMar>
            <w:top w:w="0" w:type="dxa"/>
            <w:left w:w="108" w:type="dxa"/>
            <w:bottom w:w="0" w:type="dxa"/>
            <w:right w:w="108" w:type="dxa"/>
          </w:tblCellMar>
        </w:tblPrEx>
        <w:trPr>
          <w:trHeight w:val="106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398"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w:t>
            </w:r>
            <w:r>
              <w:rPr>
                <w:rStyle w:val="4"/>
                <w:rFonts w:hAnsi="宋体"/>
                <w:lang w:bidi="ar"/>
              </w:rPr>
              <w:t>会效益指标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影响人数</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宋体" w:hAnsi="宋体" w:eastAsia="宋体" w:cs="宋体"/>
                <w:color w:val="000000"/>
                <w:kern w:val="0"/>
                <w:szCs w:val="21"/>
                <w:lang w:bidi="ar"/>
              </w:rPr>
              <w:t>＞</w:t>
            </w:r>
            <w:r>
              <w:rPr>
                <w:rFonts w:ascii="仿宋_GB2312" w:hAnsi="宋体" w:eastAsia="仿宋_GB2312" w:cs="仿宋_GB2312"/>
                <w:color w:val="000000"/>
                <w:kern w:val="0"/>
                <w:szCs w:val="21"/>
                <w:lang w:bidi="ar"/>
              </w:rPr>
              <w:t>80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大于80人</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17</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目标较宽泛，不能确定是项目的参与人数还是具体哪项内容的影响人数；改进措施：加强目标的合理性</w:t>
            </w:r>
          </w:p>
        </w:tc>
      </w:tr>
      <w:tr>
        <w:tblPrEx>
          <w:tblCellMar>
            <w:top w:w="0" w:type="dxa"/>
            <w:left w:w="108" w:type="dxa"/>
            <w:bottom w:w="0" w:type="dxa"/>
            <w:right w:w="108" w:type="dxa"/>
          </w:tblCellMar>
        </w:tblPrEx>
        <w:trPr>
          <w:trHeight w:val="118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398"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853" w:type="pct"/>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影响时间</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宋体" w:hAnsi="宋体" w:eastAsia="宋体" w:cs="宋体"/>
                <w:color w:val="000000"/>
                <w:kern w:val="0"/>
                <w:szCs w:val="21"/>
                <w:lang w:bidi="ar"/>
              </w:rPr>
              <w:t>＞</w:t>
            </w:r>
            <w:r>
              <w:rPr>
                <w:rFonts w:ascii="仿宋_GB2312" w:hAnsi="宋体" w:eastAsia="仿宋_GB2312" w:cs="仿宋_GB2312"/>
                <w:color w:val="000000"/>
                <w:kern w:val="0"/>
                <w:szCs w:val="21"/>
                <w:lang w:bidi="ar"/>
              </w:rPr>
              <w:t>5年</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大于5年</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目标较宽泛；影响时间无法确定；改进措施：加强目标的合理性</w:t>
            </w:r>
          </w:p>
        </w:tc>
      </w:tr>
      <w:tr>
        <w:tblPrEx>
          <w:tblCellMar>
            <w:top w:w="0" w:type="dxa"/>
            <w:left w:w="108" w:type="dxa"/>
            <w:bottom w:w="0" w:type="dxa"/>
            <w:right w:w="108" w:type="dxa"/>
          </w:tblCellMar>
        </w:tblPrEx>
        <w:trPr>
          <w:trHeight w:val="780" w:hRule="atLeast"/>
        </w:trPr>
        <w:tc>
          <w:tcPr>
            <w:tcW w:w="262"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ascii="仿宋_GB2312" w:hAnsi="宋体" w:eastAsia="仿宋_GB2312" w:cs="仿宋_GB2312"/>
                <w:color w:val="000000"/>
                <w:szCs w:val="21"/>
              </w:rPr>
            </w:pPr>
          </w:p>
        </w:tc>
        <w:tc>
          <w:tcPr>
            <w:tcW w:w="301"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w:t>
            </w:r>
            <w:r>
              <w:rPr>
                <w:rStyle w:val="4"/>
                <w:rFonts w:hAnsi="宋体"/>
                <w:lang w:bidi="ar"/>
              </w:rPr>
              <w:t>意度指标</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服务教师、培养研究生</w:t>
            </w:r>
          </w:p>
        </w:tc>
        <w:tc>
          <w:tcPr>
            <w:tcW w:w="9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经过口头讯问，相关人员均表示满意度100%</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口头调查，缺少数据分析；改进措施：及时做好满意度调查工作并做好资料数据分析</w:t>
            </w:r>
          </w:p>
        </w:tc>
      </w:tr>
      <w:tr>
        <w:tblPrEx>
          <w:tblCellMar>
            <w:top w:w="0" w:type="dxa"/>
            <w:left w:w="108" w:type="dxa"/>
            <w:bottom w:w="0" w:type="dxa"/>
            <w:right w:w="108" w:type="dxa"/>
          </w:tblCellMar>
        </w:tblPrEx>
        <w:trPr>
          <w:trHeight w:val="410" w:hRule="atLeast"/>
        </w:trPr>
        <w:tc>
          <w:tcPr>
            <w:tcW w:w="3615"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Cs w:val="21"/>
              </w:rPr>
            </w:pPr>
            <w:r>
              <w:rPr>
                <w:rFonts w:ascii="仿宋_GB2312" w:hAnsi="宋体" w:eastAsia="仿宋_GB2312" w:cs="仿宋_GB2312"/>
                <w:b/>
                <w:bCs/>
                <w:color w:val="000000"/>
                <w:kern w:val="0"/>
                <w:szCs w:val="21"/>
                <w:lang w:bidi="ar"/>
              </w:rPr>
              <w:t>总分</w:t>
            </w:r>
          </w:p>
        </w:tc>
        <w:tc>
          <w:tcPr>
            <w:tcW w:w="2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Cs w:val="21"/>
              </w:rPr>
            </w:pPr>
            <w:r>
              <w:rPr>
                <w:rFonts w:ascii="仿宋_GB2312" w:hAnsi="宋体" w:eastAsia="仿宋_GB2312" w:cs="仿宋_GB2312"/>
                <w:b/>
                <w:bCs/>
                <w:color w:val="000000"/>
                <w:kern w:val="0"/>
                <w:szCs w:val="21"/>
                <w:lang w:bidi="ar"/>
              </w:rPr>
              <w:t>100</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Cs w:val="21"/>
              </w:rPr>
            </w:pPr>
            <w:r>
              <w:rPr>
                <w:rFonts w:ascii="仿宋_GB2312" w:hAnsi="宋体" w:eastAsia="仿宋_GB2312" w:cs="仿宋_GB2312"/>
                <w:b/>
                <w:bCs/>
                <w:color w:val="000000"/>
                <w:kern w:val="0"/>
                <w:szCs w:val="21"/>
                <w:lang w:bidi="ar"/>
              </w:rPr>
              <w:t>88.85</w:t>
            </w:r>
          </w:p>
        </w:tc>
        <w:tc>
          <w:tcPr>
            <w:tcW w:w="9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F7A0964E"/>
    <w:rsid w:val="00585EBE"/>
    <w:rsid w:val="00AF6E24"/>
    <w:rsid w:val="095E5991"/>
    <w:rsid w:val="73B917ED"/>
    <w:rsid w:val="77DD80D8"/>
    <w:rsid w:val="BDD785F9"/>
    <w:rsid w:val="F7A09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font11"/>
    <w:basedOn w:val="3"/>
    <w:qFormat/>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2357</Words>
  <Characters>2677</Characters>
  <Lines>20</Lines>
  <Paragraphs>5</Paragraphs>
  <TotalTime>4</TotalTime>
  <ScaleCrop>false</ScaleCrop>
  <LinksUpToDate>false</LinksUpToDate>
  <CharactersWithSpaces>2733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2023-05-11T18:21:00Z</dcterms:created>
  <dc:creator>王小艳</dc:creator>
  <cp:lastModifiedBy>晓爽</cp:lastModifiedBy>
  <dcterms:modified xsi:type="dcterms:W3CDTF">2023-06-15T03:23:18Z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B0E4C3E0CD9E59612E515C64FD703311</vt:lpwstr>
  </property>
</Properties>
</file>