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0" w:type="auto"/>
        <w:tblInd w:w="0" w:type="dxa"/>
        <w:tblLayout w:type="autofit"/>
        <w:tblCellMar>
          <w:top w:w="0" w:type="dxa"/>
          <w:left w:w="108" w:type="dxa"/>
          <w:bottom w:w="0" w:type="dxa"/>
          <w:right w:w="108" w:type="dxa"/>
        </w:tblCellMar>
      </w:tblPr>
      <w:tblGrid>
        <w:gridCol w:w="528"/>
        <w:gridCol w:w="522"/>
        <w:gridCol w:w="1177"/>
        <w:gridCol w:w="2997"/>
        <w:gridCol w:w="838"/>
        <w:gridCol w:w="2574"/>
        <w:gridCol w:w="1509"/>
        <w:gridCol w:w="1509"/>
        <w:gridCol w:w="641"/>
        <w:gridCol w:w="1237"/>
        <w:gridCol w:w="642"/>
      </w:tblGrid>
      <w:tr>
        <w:tblPrEx>
          <w:tblCellMar>
            <w:top w:w="0" w:type="dxa"/>
            <w:left w:w="108" w:type="dxa"/>
            <w:bottom w:w="0" w:type="dxa"/>
            <w:right w:w="108" w:type="dxa"/>
          </w:tblCellMar>
        </w:tblPrEx>
        <w:trPr>
          <w:trHeight w:val="414" w:hRule="atLeast"/>
        </w:trPr>
        <w:tc>
          <w:tcPr>
            <w:tcW w:w="0" w:type="auto"/>
            <w:gridSpan w:val="11"/>
            <w:tcBorders>
              <w:top w:val="nil"/>
              <w:left w:val="nil"/>
              <w:bottom w:val="nil"/>
              <w:right w:val="nil"/>
            </w:tcBorders>
            <w:shd w:val="clear" w:color="auto" w:fill="auto"/>
            <w:vAlign w:val="center"/>
          </w:tcPr>
          <w:p>
            <w:pPr>
              <w:spacing w:line="480" w:lineRule="exact"/>
              <w:jc w:val="center"/>
              <w:rPr>
                <w:rFonts w:ascii="宋体" w:hAnsi="宋体" w:eastAsia="宋体" w:cs="宋体"/>
                <w:b/>
                <w:bCs/>
                <w:color w:val="000000"/>
                <w:kern w:val="0"/>
                <w:sz w:val="32"/>
                <w:szCs w:val="32"/>
              </w:rPr>
            </w:pPr>
            <w:bookmarkStart w:id="0" w:name="RANGE!A2:K23"/>
            <w:r>
              <w:rPr>
                <w:rFonts w:hint="eastAsia" w:ascii="方正小标宋简体" w:hAnsi="黑体" w:eastAsia="方正小标宋简体" w:cs="Times New Roman"/>
                <w:sz w:val="36"/>
                <w:szCs w:val="36"/>
              </w:rPr>
              <w:t>项目支出绩效自评表</w:t>
            </w:r>
            <w:bookmarkEnd w:id="0"/>
          </w:p>
        </w:tc>
      </w:tr>
      <w:tr>
        <w:tblPrEx>
          <w:tblCellMar>
            <w:top w:w="0" w:type="dxa"/>
            <w:left w:w="108" w:type="dxa"/>
            <w:bottom w:w="0" w:type="dxa"/>
            <w:right w:w="108" w:type="dxa"/>
          </w:tblCellMar>
        </w:tblPrEx>
        <w:trPr>
          <w:trHeight w:val="287" w:hRule="atLeast"/>
        </w:trPr>
        <w:tc>
          <w:tcPr>
            <w:tcW w:w="0" w:type="auto"/>
            <w:gridSpan w:val="11"/>
            <w:tcBorders>
              <w:top w:val="nil"/>
              <w:left w:val="nil"/>
              <w:bottom w:val="nil"/>
              <w:right w:val="nil"/>
            </w:tcBorders>
            <w:shd w:val="clear" w:color="auto" w:fill="auto"/>
            <w:vAlign w:val="center"/>
          </w:tcPr>
          <w:p>
            <w:pPr>
              <w:widowControl/>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（202</w:t>
            </w:r>
            <w:r>
              <w:rPr>
                <w:rFonts w:ascii="仿宋_GB2312" w:hAnsi="宋体" w:eastAsia="仿宋_GB2312" w:cs="宋体"/>
                <w:color w:val="000000"/>
                <w:kern w:val="0"/>
                <w:sz w:val="28"/>
                <w:szCs w:val="28"/>
              </w:rPr>
              <w:t>2</w:t>
            </w:r>
            <w:r>
              <w:rPr>
                <w:rFonts w:hint="eastAsia" w:ascii="仿宋_GB2312" w:hAnsi="宋体" w:eastAsia="仿宋_GB2312" w:cs="宋体"/>
                <w:color w:val="000000"/>
                <w:kern w:val="0"/>
                <w:sz w:val="28"/>
                <w:szCs w:val="28"/>
              </w:rPr>
              <w:t>年度）</w:t>
            </w:r>
          </w:p>
        </w:tc>
      </w:tr>
      <w:tr>
        <w:tblPrEx>
          <w:tblCellMar>
            <w:top w:w="0" w:type="dxa"/>
            <w:left w:w="108" w:type="dxa"/>
            <w:bottom w:w="0" w:type="dxa"/>
            <w:right w:w="108" w:type="dxa"/>
          </w:tblCellMar>
        </w:tblPrEx>
        <w:trPr>
          <w:trHeight w:val="287" w:hRule="atLeast"/>
        </w:trPr>
        <w:tc>
          <w:tcPr>
            <w:tcW w:w="0" w:type="auto"/>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2"/>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center"/>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287"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0" w:type="auto"/>
            <w:gridSpan w:val="8"/>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学生资助-退役士兵本专科生国家助学金</w:t>
            </w:r>
          </w:p>
        </w:tc>
      </w:tr>
      <w:tr>
        <w:tblPrEx>
          <w:tblCellMar>
            <w:top w:w="0" w:type="dxa"/>
            <w:left w:w="108" w:type="dxa"/>
            <w:bottom w:w="0" w:type="dxa"/>
            <w:right w:w="108" w:type="dxa"/>
          </w:tblCellMar>
        </w:tblPrEx>
        <w:trPr>
          <w:trHeight w:val="287"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0" w:type="auto"/>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首都经济贸易大学</w:t>
            </w:r>
          </w:p>
        </w:tc>
      </w:tr>
      <w:tr>
        <w:tblPrEx>
          <w:tblCellMar>
            <w:top w:w="0" w:type="dxa"/>
            <w:left w:w="108" w:type="dxa"/>
            <w:bottom w:w="0" w:type="dxa"/>
            <w:right w:w="108" w:type="dxa"/>
          </w:tblCellMar>
        </w:tblPrEx>
        <w:trPr>
          <w:trHeight w:val="287"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项目负责人</w:t>
            </w:r>
          </w:p>
        </w:tc>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王金宝</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联系电话</w:t>
            </w:r>
          </w:p>
        </w:tc>
        <w:tc>
          <w:tcPr>
            <w:tcW w:w="0" w:type="auto"/>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83952056</w:t>
            </w:r>
          </w:p>
        </w:tc>
      </w:tr>
      <w:tr>
        <w:tblPrEx>
          <w:tblCellMar>
            <w:top w:w="0" w:type="dxa"/>
            <w:left w:w="108" w:type="dxa"/>
            <w:bottom w:w="0" w:type="dxa"/>
            <w:right w:w="108" w:type="dxa"/>
          </w:tblCellMar>
        </w:tblPrEx>
        <w:trPr>
          <w:trHeight w:val="564" w:hRule="atLeast"/>
        </w:trPr>
        <w:tc>
          <w:tcPr>
            <w:tcW w:w="0" w:type="auto"/>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tblPrEx>
          <w:tblCellMar>
            <w:top w:w="0" w:type="dxa"/>
            <w:left w:w="108" w:type="dxa"/>
            <w:bottom w:w="0" w:type="dxa"/>
            <w:right w:w="108" w:type="dxa"/>
          </w:tblCellMar>
        </w:tblPrEx>
        <w:trPr>
          <w:trHeight w:val="289" w:hRule="atLeast"/>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53.130000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38.100000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38.100000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100.00%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r>
      <w:tr>
        <w:tblPrEx>
          <w:tblCellMar>
            <w:top w:w="0" w:type="dxa"/>
            <w:left w:w="108" w:type="dxa"/>
            <w:bottom w:w="0" w:type="dxa"/>
            <w:right w:w="108" w:type="dxa"/>
          </w:tblCellMar>
        </w:tblPrEx>
        <w:trPr>
          <w:trHeight w:val="287" w:hRule="atLeast"/>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其中：当年财政拨款</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53.130000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38.100000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38.100000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287" w:hRule="atLeast"/>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24" w:hRule="atLeast"/>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564"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0" w:type="auto"/>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0" w:type="auto"/>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tblPrEx>
          <w:tblCellMar>
            <w:top w:w="0" w:type="dxa"/>
            <w:left w:w="108" w:type="dxa"/>
            <w:bottom w:w="0" w:type="dxa"/>
            <w:right w:w="108" w:type="dxa"/>
          </w:tblCellMar>
        </w:tblPrEx>
        <w:trPr>
          <w:trHeight w:val="1767"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项目实际进行过程中，首先维护学生个人信息库，严格审核学生申报信息的有效性、真实性，借助本项目，完善我校本专科生学生资助体系，以实现帮助退伍士兵顺利完成学业。依据相应的管理办法,使得学生得到100%的资助，从而保证学生在校期间的学习和生活。</w:t>
            </w:r>
          </w:p>
        </w:tc>
        <w:tc>
          <w:tcPr>
            <w:tcW w:w="0" w:type="auto"/>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本项目实际进行过程中，首先维护学生个人信息库，严格审核学生申报信息的有效性、真实性，对我校退伍士兵本科生发放补贴，做到应发尽发，保证学生百分百受助。</w:t>
            </w:r>
          </w:p>
        </w:tc>
      </w:tr>
      <w:tr>
        <w:tblPrEx>
          <w:tblCellMar>
            <w:top w:w="0" w:type="dxa"/>
            <w:left w:w="108" w:type="dxa"/>
            <w:bottom w:w="0" w:type="dxa"/>
            <w:right w:w="108" w:type="dxa"/>
          </w:tblCellMar>
        </w:tblPrEx>
        <w:trPr>
          <w:trHeight w:val="695"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绩效指标</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措施</w:t>
            </w:r>
          </w:p>
        </w:tc>
      </w:tr>
      <w:tr>
        <w:tblPrEx>
          <w:tblCellMar>
            <w:top w:w="0" w:type="dxa"/>
            <w:left w:w="108" w:type="dxa"/>
            <w:bottom w:w="0" w:type="dxa"/>
            <w:right w:w="108" w:type="dxa"/>
          </w:tblCellMar>
        </w:tblPrEx>
        <w:trPr>
          <w:trHeight w:val="5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出</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指</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标</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发放月份数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7月</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7个月</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7.5</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5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退役士兵人数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≥161人</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43人</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（161人次）</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6.5</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按照北京市资助中心要求，补发部分学生助学金，实际发放情况为43人，161人次。</w:t>
            </w:r>
          </w:p>
        </w:tc>
      </w:tr>
      <w:tr>
        <w:tblPrEx>
          <w:tblCellMar>
            <w:top w:w="0" w:type="dxa"/>
            <w:left w:w="108" w:type="dxa"/>
            <w:bottom w:w="0" w:type="dxa"/>
            <w:right w:w="108" w:type="dxa"/>
          </w:tblCellMar>
        </w:tblPrEx>
        <w:trPr>
          <w:trHeight w:val="151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严格按照京教助（〔2021〕28号）《关于在全国学生资助管理信息系统中录入服兵役高等学校学生国家教育资助信息的通知》进行发放</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优良中低差</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严格按照京教助（〔2021〕28号）《关于在全国学生资助管理信息系统中录入服兵役高等学校学生国家教育资助信息的通知》进行发放</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FF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567"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2022年12月份前发放完毕</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≤12月</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2022年12月份前发放完毕</w:t>
            </w:r>
          </w:p>
        </w:tc>
        <w:tc>
          <w:tcPr>
            <w:tcW w:w="0" w:type="auto"/>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567"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支出总额</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≤53.13万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38.1万</w:t>
            </w:r>
          </w:p>
        </w:tc>
        <w:tc>
          <w:tcPr>
            <w:tcW w:w="0" w:type="auto"/>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项目经费实际执行有结余上交；改进措施：提高预算申报的精准度</w:t>
            </w:r>
          </w:p>
        </w:tc>
      </w:tr>
      <w:tr>
        <w:tblPrEx>
          <w:tblCellMar>
            <w:top w:w="0" w:type="dxa"/>
            <w:left w:w="108" w:type="dxa"/>
            <w:bottom w:w="0" w:type="dxa"/>
            <w:right w:w="108" w:type="dxa"/>
          </w:tblCellMar>
        </w:tblPrEx>
        <w:trPr>
          <w:trHeight w:val="1449"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益</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指</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保证受助学生顺利完成学业</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优良中低差</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保证受助学生顺利完成学业</w:t>
            </w:r>
          </w:p>
        </w:tc>
        <w:tc>
          <w:tcPr>
            <w:tcW w:w="0" w:type="auto"/>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28</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效益指标设置的比较笼统；改进措施：设置效益指标应具体明确体现出项目实际效益</w:t>
            </w:r>
          </w:p>
        </w:tc>
      </w:tr>
      <w:tr>
        <w:tblPrEx>
          <w:tblCellMar>
            <w:top w:w="0" w:type="dxa"/>
            <w:left w:w="108" w:type="dxa"/>
            <w:bottom w:w="0" w:type="dxa"/>
            <w:right w:w="108" w:type="dxa"/>
          </w:tblCellMar>
        </w:tblPrEx>
        <w:trPr>
          <w:trHeight w:val="92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学生满意度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学生满意度95%</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学生反馈效果良好，满意度可达95%</w:t>
            </w:r>
          </w:p>
        </w:tc>
      </w:tr>
      <w:tr>
        <w:tblPrEx>
          <w:tblCellMar>
            <w:top w:w="0" w:type="dxa"/>
            <w:left w:w="108" w:type="dxa"/>
            <w:bottom w:w="0" w:type="dxa"/>
            <w:right w:w="108" w:type="dxa"/>
          </w:tblCellMar>
        </w:tblPrEx>
        <w:trPr>
          <w:trHeight w:val="502" w:hRule="atLeast"/>
        </w:trPr>
        <w:tc>
          <w:tcPr>
            <w:tcW w:w="0" w:type="auto"/>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总分</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100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93</w:t>
            </w:r>
          </w:p>
        </w:tc>
        <w:tc>
          <w:tcPr>
            <w:tcW w:w="0" w:type="auto"/>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Cs w:val="21"/>
              </w:rPr>
            </w:pPr>
            <w:bookmarkStart w:id="1" w:name="_GoBack"/>
            <w:bookmarkEnd w:id="1"/>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E1ZWM0NjZmNjcxMWM1MGE2OTZkZjZlMTgwZTAwOTMifQ=="/>
  </w:docVars>
  <w:rsids>
    <w:rsidRoot w:val="003533F2"/>
    <w:rsid w:val="000154F6"/>
    <w:rsid w:val="00081BF8"/>
    <w:rsid w:val="000D2672"/>
    <w:rsid w:val="000E0159"/>
    <w:rsid w:val="001060F6"/>
    <w:rsid w:val="001A638F"/>
    <w:rsid w:val="001C653F"/>
    <w:rsid w:val="001F09A6"/>
    <w:rsid w:val="002515A0"/>
    <w:rsid w:val="00275454"/>
    <w:rsid w:val="003329B9"/>
    <w:rsid w:val="003533F2"/>
    <w:rsid w:val="00403B43"/>
    <w:rsid w:val="004338FA"/>
    <w:rsid w:val="00442A3B"/>
    <w:rsid w:val="0046097F"/>
    <w:rsid w:val="00466635"/>
    <w:rsid w:val="00486CB4"/>
    <w:rsid w:val="0049630F"/>
    <w:rsid w:val="004D73C2"/>
    <w:rsid w:val="004E2544"/>
    <w:rsid w:val="00523711"/>
    <w:rsid w:val="00552C67"/>
    <w:rsid w:val="00554AFB"/>
    <w:rsid w:val="005F1F84"/>
    <w:rsid w:val="006D7465"/>
    <w:rsid w:val="00725F0C"/>
    <w:rsid w:val="00762F94"/>
    <w:rsid w:val="00796F75"/>
    <w:rsid w:val="007C05B0"/>
    <w:rsid w:val="007C0A8B"/>
    <w:rsid w:val="00831812"/>
    <w:rsid w:val="008570B0"/>
    <w:rsid w:val="008A0BF2"/>
    <w:rsid w:val="008B3DC5"/>
    <w:rsid w:val="0093337F"/>
    <w:rsid w:val="00976343"/>
    <w:rsid w:val="009A0307"/>
    <w:rsid w:val="009E6A65"/>
    <w:rsid w:val="00A01F57"/>
    <w:rsid w:val="00A64B1D"/>
    <w:rsid w:val="00A902DA"/>
    <w:rsid w:val="00B052AE"/>
    <w:rsid w:val="00B3173F"/>
    <w:rsid w:val="00B376E3"/>
    <w:rsid w:val="00B465DC"/>
    <w:rsid w:val="00B46AD9"/>
    <w:rsid w:val="00BD5ECE"/>
    <w:rsid w:val="00C337D1"/>
    <w:rsid w:val="00C77AE7"/>
    <w:rsid w:val="00D364C0"/>
    <w:rsid w:val="00DE1E40"/>
    <w:rsid w:val="00E06C00"/>
    <w:rsid w:val="00E7666E"/>
    <w:rsid w:val="00E94DB2"/>
    <w:rsid w:val="00EF7C1D"/>
    <w:rsid w:val="00F37766"/>
    <w:rsid w:val="00F70400"/>
    <w:rsid w:val="00FC42AB"/>
    <w:rsid w:val="169231DC"/>
    <w:rsid w:val="AF7A6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789</Words>
  <Characters>915</Characters>
  <Lines>7</Lines>
  <Paragraphs>2</Paragraphs>
  <TotalTime>2</TotalTime>
  <ScaleCrop>false</ScaleCrop>
  <LinksUpToDate>false</LinksUpToDate>
  <CharactersWithSpaces>947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2021-05-21T12:35:00Z</dcterms:created>
  <dc:creator>雪</dc:creator>
  <cp:lastModifiedBy>晓爽</cp:lastModifiedBy>
  <dcterms:modified xsi:type="dcterms:W3CDTF">2023-06-15T01:15:58Z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D1179799751344FF86FF4D8EE15CF36C_12</vt:lpwstr>
  </property>
</Properties>
</file>