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Layout w:type="autofit"/>
        <w:tblCellMar>
          <w:top w:w="0" w:type="dxa"/>
          <w:left w:w="108" w:type="dxa"/>
          <w:bottom w:w="0" w:type="dxa"/>
          <w:right w:w="108" w:type="dxa"/>
        </w:tblCellMar>
      </w:tblPr>
      <w:tblGrid>
        <w:gridCol w:w="528"/>
        <w:gridCol w:w="681"/>
        <w:gridCol w:w="1056"/>
        <w:gridCol w:w="1766"/>
        <w:gridCol w:w="1812"/>
        <w:gridCol w:w="1861"/>
        <w:gridCol w:w="1294"/>
        <w:gridCol w:w="1294"/>
        <w:gridCol w:w="1294"/>
        <w:gridCol w:w="1294"/>
        <w:gridCol w:w="1294"/>
      </w:tblGrid>
      <w:tr>
        <w:tblPrEx>
          <w:tblCellMar>
            <w:top w:w="0" w:type="dxa"/>
            <w:left w:w="108" w:type="dxa"/>
            <w:bottom w:w="0" w:type="dxa"/>
            <w:right w:w="108" w:type="dxa"/>
          </w:tblCellMar>
        </w:tblPrEx>
        <w:trPr>
          <w:trHeight w:val="414" w:hRule="atLeast"/>
        </w:trPr>
        <w:tc>
          <w:tcPr>
            <w:tcW w:w="5000" w:type="pct"/>
            <w:gridSpan w:val="11"/>
            <w:tcBorders>
              <w:top w:val="nil"/>
              <w:left w:val="nil"/>
              <w:bottom w:val="nil"/>
              <w:right w:val="nil"/>
            </w:tcBorders>
            <w:shd w:val="clear" w:color="auto" w:fill="auto"/>
            <w:vAlign w:val="center"/>
          </w:tcPr>
          <w:p>
            <w:pPr>
              <w:spacing w:line="480" w:lineRule="exact"/>
              <w:jc w:val="center"/>
              <w:rPr>
                <w:rFonts w:ascii="方正小标宋简体" w:hAnsi="黑体" w:eastAsia="方正小标宋简体" w:cs="Times New Roman"/>
                <w:sz w:val="36"/>
                <w:szCs w:val="36"/>
              </w:rPr>
            </w:pPr>
            <w:bookmarkStart w:id="0" w:name="RANGE!A2:K22"/>
            <w:r>
              <w:rPr>
                <w:rFonts w:hint="eastAsia" w:ascii="方正小标宋简体" w:hAnsi="黑体" w:eastAsia="方正小标宋简体" w:cs="Times New Roman"/>
                <w:sz w:val="36"/>
                <w:szCs w:val="36"/>
              </w:rPr>
              <w:t>项目支出绩效自评表</w:t>
            </w:r>
            <w:bookmarkEnd w:id="0"/>
          </w:p>
        </w:tc>
      </w:tr>
      <w:tr>
        <w:tblPrEx>
          <w:tblCellMar>
            <w:top w:w="0" w:type="dxa"/>
            <w:left w:w="108" w:type="dxa"/>
            <w:bottom w:w="0" w:type="dxa"/>
            <w:right w:w="108" w:type="dxa"/>
          </w:tblCellMar>
        </w:tblPrEx>
        <w:trPr>
          <w:trHeight w:val="287" w:hRule="atLeast"/>
        </w:trPr>
        <w:tc>
          <w:tcPr>
            <w:tcW w:w="5000" w:type="pct"/>
            <w:gridSpan w:val="11"/>
            <w:tcBorders>
              <w:top w:val="nil"/>
              <w:left w:val="nil"/>
              <w:bottom w:val="nil"/>
              <w:right w:val="nil"/>
            </w:tcBorders>
            <w:shd w:val="clear" w:color="auto" w:fill="auto"/>
            <w:vAlign w:val="center"/>
          </w:tcPr>
          <w:p>
            <w:pPr>
              <w:widowControl/>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（202</w:t>
            </w:r>
            <w:r>
              <w:rPr>
                <w:rFonts w:ascii="仿宋_GB2312" w:hAnsi="宋体" w:eastAsia="仿宋_GB2312" w:cs="宋体"/>
                <w:kern w:val="0"/>
                <w:sz w:val="28"/>
                <w:szCs w:val="28"/>
              </w:rPr>
              <w:t>2</w:t>
            </w:r>
            <w:r>
              <w:rPr>
                <w:rFonts w:hint="eastAsia" w:ascii="仿宋_GB2312" w:hAnsi="宋体" w:eastAsia="仿宋_GB2312" w:cs="宋体"/>
                <w:kern w:val="0"/>
                <w:sz w:val="28"/>
                <w:szCs w:val="28"/>
              </w:rPr>
              <w:t>年度）</w:t>
            </w:r>
          </w:p>
        </w:tc>
      </w:tr>
      <w:tr>
        <w:tblPrEx>
          <w:tblCellMar>
            <w:top w:w="0" w:type="dxa"/>
            <w:left w:w="108" w:type="dxa"/>
            <w:bottom w:w="0" w:type="dxa"/>
            <w:right w:w="108" w:type="dxa"/>
          </w:tblCellMar>
        </w:tblPrEx>
        <w:trPr>
          <w:trHeight w:val="287" w:hRule="atLeast"/>
        </w:trPr>
        <w:tc>
          <w:tcPr>
            <w:tcW w:w="172" w:type="pct"/>
            <w:tcBorders>
              <w:top w:val="nil"/>
              <w:left w:val="nil"/>
              <w:bottom w:val="single" w:color="auto" w:sz="4" w:space="0"/>
              <w:right w:val="nil"/>
            </w:tcBorders>
            <w:shd w:val="clear" w:color="auto" w:fill="auto"/>
            <w:vAlign w:val="center"/>
          </w:tcPr>
          <w:p>
            <w:pPr>
              <w:widowControl/>
              <w:jc w:val="center"/>
              <w:rPr>
                <w:rFonts w:ascii="宋体" w:hAnsi="宋体" w:eastAsia="宋体" w:cs="宋体"/>
                <w:kern w:val="0"/>
                <w:sz w:val="22"/>
              </w:rPr>
            </w:pPr>
          </w:p>
        </w:tc>
        <w:tc>
          <w:tcPr>
            <w:tcW w:w="250"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300" w:type="pct"/>
            <w:tcBorders>
              <w:top w:val="nil"/>
              <w:left w:val="nil"/>
              <w:bottom w:val="single" w:color="auto" w:sz="4" w:space="0"/>
              <w:right w:val="nil"/>
            </w:tcBorders>
            <w:shd w:val="clear" w:color="auto" w:fill="auto"/>
            <w:vAlign w:val="center"/>
          </w:tcPr>
          <w:p>
            <w:pPr>
              <w:widowControl/>
              <w:jc w:val="center"/>
              <w:rPr>
                <w:rFonts w:ascii="Times New Roman" w:hAnsi="Times New Roman" w:eastAsia="Times New Roman" w:cs="Times New Roman"/>
                <w:kern w:val="0"/>
                <w:sz w:val="20"/>
                <w:szCs w:val="20"/>
              </w:rPr>
            </w:pPr>
          </w:p>
        </w:tc>
        <w:tc>
          <w:tcPr>
            <w:tcW w:w="633"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649"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666"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466"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466"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466"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466"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466"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280" w:hRule="atLeast"/>
        </w:trPr>
        <w:tc>
          <w:tcPr>
            <w:tcW w:w="721"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4279" w:type="pct"/>
            <w:gridSpan w:val="8"/>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学生资助-退役士兵本专科生国家助学金</w:t>
            </w:r>
          </w:p>
        </w:tc>
      </w:tr>
      <w:tr>
        <w:tblPrEx>
          <w:tblCellMar>
            <w:top w:w="0" w:type="dxa"/>
            <w:left w:w="108" w:type="dxa"/>
            <w:bottom w:w="0" w:type="dxa"/>
            <w:right w:w="108" w:type="dxa"/>
          </w:tblCellMar>
        </w:tblPrEx>
        <w:trPr>
          <w:trHeight w:val="280" w:hRule="atLeast"/>
        </w:trPr>
        <w:tc>
          <w:tcPr>
            <w:tcW w:w="721"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194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4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1865"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首都体育学院</w:t>
            </w:r>
          </w:p>
        </w:tc>
      </w:tr>
      <w:tr>
        <w:tblPrEx>
          <w:tblCellMar>
            <w:top w:w="0" w:type="dxa"/>
            <w:left w:w="108" w:type="dxa"/>
            <w:bottom w:w="0" w:type="dxa"/>
            <w:right w:w="108" w:type="dxa"/>
          </w:tblCellMar>
        </w:tblPrEx>
        <w:trPr>
          <w:trHeight w:val="280" w:hRule="atLeast"/>
        </w:trPr>
        <w:tc>
          <w:tcPr>
            <w:tcW w:w="721"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194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杨淑霞</w:t>
            </w:r>
          </w:p>
        </w:tc>
        <w:tc>
          <w:tcPr>
            <w:tcW w:w="4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1865"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82099236</w:t>
            </w:r>
          </w:p>
        </w:tc>
      </w:tr>
      <w:tr>
        <w:tblPrEx>
          <w:tblCellMar>
            <w:top w:w="0" w:type="dxa"/>
            <w:left w:w="108" w:type="dxa"/>
            <w:bottom w:w="0" w:type="dxa"/>
            <w:right w:w="108" w:type="dxa"/>
          </w:tblCellMar>
        </w:tblPrEx>
        <w:trPr>
          <w:trHeight w:val="565" w:hRule="atLeast"/>
        </w:trPr>
        <w:tc>
          <w:tcPr>
            <w:tcW w:w="721"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282" w:type="pct"/>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6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年初预算数</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全年预算数</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全年执行数</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290" w:hRule="atLeast"/>
        </w:trPr>
        <w:tc>
          <w:tcPr>
            <w:tcW w:w="721"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Cs w:val="21"/>
              </w:rPr>
            </w:pPr>
          </w:p>
        </w:tc>
        <w:tc>
          <w:tcPr>
            <w:tcW w:w="1282" w:type="pct"/>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66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60.720000</w:t>
            </w:r>
          </w:p>
        </w:tc>
        <w:tc>
          <w:tcPr>
            <w:tcW w:w="46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60.110000</w:t>
            </w:r>
          </w:p>
        </w:tc>
        <w:tc>
          <w:tcPr>
            <w:tcW w:w="46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60.110000</w:t>
            </w:r>
          </w:p>
        </w:tc>
        <w:tc>
          <w:tcPr>
            <w:tcW w:w="46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6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highlight w:val="none"/>
              </w:rPr>
              <w:t>9.5</w:t>
            </w:r>
          </w:p>
        </w:tc>
      </w:tr>
      <w:tr>
        <w:tblPrEx>
          <w:tblCellMar>
            <w:top w:w="0" w:type="dxa"/>
            <w:left w:w="108" w:type="dxa"/>
            <w:bottom w:w="0" w:type="dxa"/>
            <w:right w:w="108" w:type="dxa"/>
          </w:tblCellMar>
        </w:tblPrEx>
        <w:trPr>
          <w:trHeight w:val="280" w:hRule="atLeast"/>
        </w:trPr>
        <w:tc>
          <w:tcPr>
            <w:tcW w:w="721"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Cs w:val="21"/>
              </w:rPr>
            </w:pPr>
          </w:p>
        </w:tc>
        <w:tc>
          <w:tcPr>
            <w:tcW w:w="1282" w:type="pct"/>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xml:space="preserve">    其中：当年财政拨款</w:t>
            </w:r>
          </w:p>
        </w:tc>
        <w:tc>
          <w:tcPr>
            <w:tcW w:w="66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60.720000</w:t>
            </w:r>
          </w:p>
        </w:tc>
        <w:tc>
          <w:tcPr>
            <w:tcW w:w="46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60.110000</w:t>
            </w:r>
          </w:p>
        </w:tc>
        <w:tc>
          <w:tcPr>
            <w:tcW w:w="46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60.110000</w:t>
            </w:r>
          </w:p>
        </w:tc>
        <w:tc>
          <w:tcPr>
            <w:tcW w:w="466" w:type="pct"/>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46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0" w:hRule="atLeast"/>
        </w:trPr>
        <w:tc>
          <w:tcPr>
            <w:tcW w:w="721"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Cs w:val="21"/>
              </w:rPr>
            </w:pPr>
          </w:p>
        </w:tc>
        <w:tc>
          <w:tcPr>
            <w:tcW w:w="1282"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6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4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4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4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4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46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325" w:hRule="atLeast"/>
        </w:trPr>
        <w:tc>
          <w:tcPr>
            <w:tcW w:w="721"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Cs w:val="21"/>
              </w:rPr>
            </w:pPr>
          </w:p>
        </w:tc>
        <w:tc>
          <w:tcPr>
            <w:tcW w:w="1282"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6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4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4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4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c>
          <w:tcPr>
            <w:tcW w:w="4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46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565" w:hRule="atLeast"/>
        </w:trPr>
        <w:tc>
          <w:tcPr>
            <w:tcW w:w="172" w:type="pct"/>
            <w:vMerge w:val="restart"/>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2497" w:type="pct"/>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2331" w:type="pct"/>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525" w:hRule="atLeast"/>
        </w:trPr>
        <w:tc>
          <w:tcPr>
            <w:tcW w:w="17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Cs w:val="21"/>
              </w:rPr>
            </w:pPr>
          </w:p>
        </w:tc>
        <w:tc>
          <w:tcPr>
            <w:tcW w:w="2497" w:type="pct"/>
            <w:gridSpan w:val="5"/>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落实市属高校退役士兵国家助学金政策，按时按标准足额及时发放到个人。</w:t>
            </w:r>
          </w:p>
        </w:tc>
        <w:tc>
          <w:tcPr>
            <w:tcW w:w="2331" w:type="pct"/>
            <w:gridSpan w:val="5"/>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学校为47名学生补发2019-2020学年退役士兵助学金15.51万元，为49名学生补发2020-2021学年退役士兵助学金15.89万元，为56名学生发放2021-2022学年退役士兵助学金18.48万元，为62名学生发放2022-2023学年秋季学期退役士兵助学金10.23万元（每生每月330元，每学年发放10个月），其中1人补发500元（该生为2020-2021学年度二等国家助学金受助学生，当年已领取国家助学金2800元，依照文件要求，享受退役士兵本专科生国家助学金时，不得同时享受国家助学金，因此该生2020-2021学年仅补发退役士兵助学金500元）。全年共发放60.11万元。</w:t>
            </w:r>
          </w:p>
        </w:tc>
      </w:tr>
      <w:tr>
        <w:tblPrEx>
          <w:tblCellMar>
            <w:top w:w="0" w:type="dxa"/>
            <w:left w:w="108" w:type="dxa"/>
            <w:bottom w:w="0" w:type="dxa"/>
            <w:right w:w="108" w:type="dxa"/>
          </w:tblCellMar>
        </w:tblPrEx>
        <w:trPr>
          <w:trHeight w:val="695" w:hRule="atLeast"/>
        </w:trPr>
        <w:tc>
          <w:tcPr>
            <w:tcW w:w="172" w:type="pct"/>
            <w:vMerge w:val="restart"/>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绩效指标</w:t>
            </w:r>
          </w:p>
        </w:tc>
        <w:tc>
          <w:tcPr>
            <w:tcW w:w="2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300"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633"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64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年度指标值</w:t>
            </w:r>
          </w:p>
        </w:tc>
        <w:tc>
          <w:tcPr>
            <w:tcW w:w="6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实际完成值</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398"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2515" w:hRule="atLeast"/>
        </w:trPr>
        <w:tc>
          <w:tcPr>
            <w:tcW w:w="17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Cs w:val="21"/>
              </w:rPr>
            </w:pPr>
            <w:bookmarkStart w:id="1" w:name="_GoBack" w:colFirst="7" w:colLast="7"/>
          </w:p>
        </w:tc>
        <w:tc>
          <w:tcPr>
            <w:tcW w:w="25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产</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出</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30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633"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7个学期，368人退伍</w:t>
            </w:r>
          </w:p>
        </w:tc>
        <w:tc>
          <w:tcPr>
            <w:tcW w:w="64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368人</w:t>
            </w:r>
          </w:p>
        </w:tc>
        <w:tc>
          <w:tcPr>
            <w:tcW w:w="6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为退役学生补发2019-2020学年第一学期退役士兵国家助学金47人、第二学期47人；2020-2021学年第一学期49人、第二学期49人；2021-2022学年第一学期56人、第二学期56人；2022-2023学年第一学期发放62人。共计7个学期发放366人。</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14</w:t>
            </w:r>
          </w:p>
        </w:tc>
        <w:tc>
          <w:tcPr>
            <w:tcW w:w="1398"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年度指标值为估测人数，2022年当年实际退役士兵数与估测略值略有差异。我校为符合上级文件要求的退役士兵大学生全部按时发放了退役士兵本专科生国家助学金。</w:t>
            </w:r>
          </w:p>
        </w:tc>
      </w:tr>
      <w:tr>
        <w:tblPrEx>
          <w:tblCellMar>
            <w:top w:w="0" w:type="dxa"/>
            <w:left w:w="108" w:type="dxa"/>
            <w:bottom w:w="0" w:type="dxa"/>
            <w:right w:w="108" w:type="dxa"/>
          </w:tblCellMar>
        </w:tblPrEx>
        <w:trPr>
          <w:trHeight w:val="740" w:hRule="atLeast"/>
        </w:trPr>
        <w:tc>
          <w:tcPr>
            <w:tcW w:w="17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Cs w:val="21"/>
              </w:rPr>
            </w:pPr>
          </w:p>
        </w:tc>
        <w:tc>
          <w:tcPr>
            <w:tcW w:w="25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Cs w:val="21"/>
              </w:rPr>
            </w:pPr>
          </w:p>
        </w:tc>
        <w:tc>
          <w:tcPr>
            <w:tcW w:w="300"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633"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实现精准资助，按时发放助学金</w:t>
            </w:r>
          </w:p>
        </w:tc>
        <w:tc>
          <w:tcPr>
            <w:tcW w:w="64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优良中低差</w:t>
            </w:r>
          </w:p>
        </w:tc>
        <w:tc>
          <w:tcPr>
            <w:tcW w:w="666"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实现精准资助，按时发放助学金</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398"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无</w:t>
            </w:r>
          </w:p>
        </w:tc>
      </w:tr>
      <w:tr>
        <w:tblPrEx>
          <w:tblCellMar>
            <w:top w:w="0" w:type="dxa"/>
            <w:left w:w="108" w:type="dxa"/>
            <w:bottom w:w="0" w:type="dxa"/>
            <w:right w:w="108" w:type="dxa"/>
          </w:tblCellMar>
        </w:tblPrEx>
        <w:trPr>
          <w:trHeight w:val="2015" w:hRule="atLeast"/>
        </w:trPr>
        <w:tc>
          <w:tcPr>
            <w:tcW w:w="17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Cs w:val="21"/>
              </w:rPr>
            </w:pPr>
          </w:p>
        </w:tc>
        <w:tc>
          <w:tcPr>
            <w:tcW w:w="25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Cs w:val="21"/>
              </w:rPr>
            </w:pPr>
          </w:p>
        </w:tc>
        <w:tc>
          <w:tcPr>
            <w:tcW w:w="30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633"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资金下达，及时发放</w:t>
            </w:r>
          </w:p>
        </w:tc>
        <w:tc>
          <w:tcPr>
            <w:tcW w:w="64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优良中低差</w:t>
            </w:r>
          </w:p>
        </w:tc>
        <w:tc>
          <w:tcPr>
            <w:tcW w:w="6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2022年3月及时补发2019-2020学年、2020-2021学年、2021-2022学年退役士兵本专科生国家助学金；2022年9月-2023年1月及时发放2022-2023学年秋季学期退役士兵本专科生国家助学金</w:t>
            </w:r>
          </w:p>
        </w:tc>
        <w:tc>
          <w:tcPr>
            <w:tcW w:w="466"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6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398"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　无</w:t>
            </w:r>
          </w:p>
        </w:tc>
      </w:tr>
      <w:tr>
        <w:tblPrEx>
          <w:tblCellMar>
            <w:top w:w="0" w:type="dxa"/>
            <w:left w:w="108" w:type="dxa"/>
            <w:bottom w:w="0" w:type="dxa"/>
            <w:right w:w="108" w:type="dxa"/>
          </w:tblCellMar>
        </w:tblPrEx>
        <w:trPr>
          <w:trHeight w:val="1275" w:hRule="atLeast"/>
        </w:trPr>
        <w:tc>
          <w:tcPr>
            <w:tcW w:w="17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Cs w:val="21"/>
              </w:rPr>
            </w:pPr>
          </w:p>
        </w:tc>
        <w:tc>
          <w:tcPr>
            <w:tcW w:w="25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Cs w:val="21"/>
              </w:rPr>
            </w:pPr>
          </w:p>
        </w:tc>
        <w:tc>
          <w:tcPr>
            <w:tcW w:w="30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633"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按标准申报经费</w:t>
            </w:r>
          </w:p>
        </w:tc>
        <w:tc>
          <w:tcPr>
            <w:tcW w:w="64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60.72万元</w:t>
            </w:r>
          </w:p>
        </w:tc>
        <w:tc>
          <w:tcPr>
            <w:tcW w:w="6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60.11万</w:t>
            </w:r>
          </w:p>
        </w:tc>
        <w:tc>
          <w:tcPr>
            <w:tcW w:w="466"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6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9</w:t>
            </w:r>
          </w:p>
        </w:tc>
        <w:tc>
          <w:tcPr>
            <w:tcW w:w="1398"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中1人为2020-2021学年度二等国家助学金受助学生，当年已领取国家助学金2800元，依照文件要求，享受退役士兵本专科生国家助学金时，不得同时享受国家助学金，因此该生2020-2021学年仅补发退役士兵助学金500元。</w:t>
            </w:r>
          </w:p>
        </w:tc>
      </w:tr>
      <w:tr>
        <w:tblPrEx>
          <w:tblCellMar>
            <w:top w:w="0" w:type="dxa"/>
            <w:left w:w="108" w:type="dxa"/>
            <w:bottom w:w="0" w:type="dxa"/>
            <w:right w:w="108" w:type="dxa"/>
          </w:tblCellMar>
        </w:tblPrEx>
        <w:trPr>
          <w:trHeight w:val="1540" w:hRule="atLeast"/>
        </w:trPr>
        <w:tc>
          <w:tcPr>
            <w:tcW w:w="17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Cs w:val="21"/>
              </w:rPr>
            </w:pPr>
          </w:p>
        </w:tc>
        <w:tc>
          <w:tcPr>
            <w:tcW w:w="2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效</w:t>
            </w:r>
            <w:r>
              <w:rPr>
                <w:rFonts w:hint="eastAsia" w:ascii="仿宋_GB2312" w:hAnsi="宋体" w:eastAsia="仿宋_GB2312" w:cs="宋体"/>
                <w:kern w:val="0"/>
                <w:szCs w:val="21"/>
              </w:rPr>
              <w:br w:type="page"/>
            </w:r>
            <w:r>
              <w:rPr>
                <w:rFonts w:hint="eastAsia" w:ascii="仿宋_GB2312" w:hAnsi="宋体" w:eastAsia="仿宋_GB2312" w:cs="宋体"/>
                <w:kern w:val="0"/>
                <w:szCs w:val="21"/>
              </w:rPr>
              <w:t>益</w:t>
            </w:r>
            <w:r>
              <w:rPr>
                <w:rFonts w:hint="eastAsia" w:ascii="仿宋_GB2312" w:hAnsi="宋体" w:eastAsia="仿宋_GB2312" w:cs="宋体"/>
                <w:kern w:val="0"/>
                <w:szCs w:val="21"/>
              </w:rPr>
              <w:br w:type="page"/>
            </w:r>
            <w:r>
              <w:rPr>
                <w:rFonts w:hint="eastAsia" w:ascii="仿宋_GB2312" w:hAnsi="宋体" w:eastAsia="仿宋_GB2312" w:cs="宋体"/>
                <w:kern w:val="0"/>
                <w:szCs w:val="21"/>
              </w:rPr>
              <w:t>指</w:t>
            </w:r>
            <w:r>
              <w:rPr>
                <w:rFonts w:hint="eastAsia" w:ascii="仿宋_GB2312" w:hAnsi="宋体" w:eastAsia="仿宋_GB2312" w:cs="宋体"/>
                <w:kern w:val="0"/>
                <w:szCs w:val="21"/>
              </w:rPr>
              <w:br w:type="page"/>
            </w:r>
            <w:r>
              <w:rPr>
                <w:rFonts w:hint="eastAsia" w:ascii="仿宋_GB2312" w:hAnsi="宋体" w:eastAsia="仿宋_GB2312" w:cs="宋体"/>
                <w:kern w:val="0"/>
                <w:szCs w:val="21"/>
              </w:rPr>
              <w:t>标</w:t>
            </w:r>
          </w:p>
        </w:tc>
        <w:tc>
          <w:tcPr>
            <w:tcW w:w="30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社会效益指标</w:t>
            </w:r>
          </w:p>
        </w:tc>
        <w:tc>
          <w:tcPr>
            <w:tcW w:w="633"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减轻学生经济负担，提高学生荣誉感</w:t>
            </w:r>
          </w:p>
        </w:tc>
        <w:tc>
          <w:tcPr>
            <w:tcW w:w="64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优良中低差</w:t>
            </w:r>
          </w:p>
        </w:tc>
        <w:tc>
          <w:tcPr>
            <w:tcW w:w="6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学生荣誉感增加，热爱祖国和学校</w:t>
            </w:r>
          </w:p>
        </w:tc>
        <w:tc>
          <w:tcPr>
            <w:tcW w:w="466"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4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27</w:t>
            </w:r>
          </w:p>
        </w:tc>
        <w:tc>
          <w:tcPr>
            <w:tcW w:w="1398"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效益指标设置的比较笼统；改进措施：设置效益指标进一步体现出项目实际效益</w:t>
            </w:r>
          </w:p>
        </w:tc>
      </w:tr>
      <w:tr>
        <w:tblPrEx>
          <w:tblCellMar>
            <w:top w:w="0" w:type="dxa"/>
            <w:left w:w="108" w:type="dxa"/>
            <w:bottom w:w="0" w:type="dxa"/>
            <w:right w:w="108" w:type="dxa"/>
          </w:tblCellMar>
        </w:tblPrEx>
        <w:trPr>
          <w:trHeight w:val="925" w:hRule="atLeast"/>
        </w:trPr>
        <w:tc>
          <w:tcPr>
            <w:tcW w:w="17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Cs w:val="21"/>
              </w:rPr>
            </w:pPr>
          </w:p>
        </w:tc>
        <w:tc>
          <w:tcPr>
            <w:tcW w:w="2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满意度指标</w:t>
            </w:r>
          </w:p>
        </w:tc>
        <w:tc>
          <w:tcPr>
            <w:tcW w:w="30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633"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受到资助的学生对于国家资助工作感到满意</w:t>
            </w:r>
          </w:p>
        </w:tc>
        <w:tc>
          <w:tcPr>
            <w:tcW w:w="64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优良中低差</w:t>
            </w:r>
          </w:p>
        </w:tc>
        <w:tc>
          <w:tcPr>
            <w:tcW w:w="6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受到资助的学生对于国家资助工作感到满意度100%</w:t>
            </w:r>
          </w:p>
        </w:tc>
        <w:tc>
          <w:tcPr>
            <w:tcW w:w="466"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8</w:t>
            </w:r>
          </w:p>
        </w:tc>
        <w:tc>
          <w:tcPr>
            <w:tcW w:w="1398"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受到资助的学生对于国家资助工作反馈效果良好，满意度可达100%</w:t>
            </w:r>
          </w:p>
        </w:tc>
      </w:tr>
      <w:bookmarkEnd w:id="1"/>
      <w:tr>
        <w:tblPrEx>
          <w:tblCellMar>
            <w:top w:w="0" w:type="dxa"/>
            <w:left w:w="108" w:type="dxa"/>
            <w:bottom w:w="0" w:type="dxa"/>
            <w:right w:w="108" w:type="dxa"/>
          </w:tblCellMar>
        </w:tblPrEx>
        <w:trPr>
          <w:trHeight w:val="500" w:hRule="atLeast"/>
        </w:trPr>
        <w:tc>
          <w:tcPr>
            <w:tcW w:w="2669" w:type="pct"/>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总分</w:t>
            </w:r>
          </w:p>
        </w:tc>
        <w:tc>
          <w:tcPr>
            <w:tcW w:w="46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100</w:t>
            </w:r>
          </w:p>
        </w:tc>
        <w:tc>
          <w:tcPr>
            <w:tcW w:w="46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92.5</w:t>
            </w:r>
          </w:p>
        </w:tc>
        <w:tc>
          <w:tcPr>
            <w:tcW w:w="1398" w:type="pct"/>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yZmUzNjA1MmVhMDFhZWYwNWRiMTQ0MmRkZTBiMTkifQ=="/>
  </w:docVars>
  <w:rsids>
    <w:rsidRoot w:val="003533F2"/>
    <w:rsid w:val="000154F6"/>
    <w:rsid w:val="000C650A"/>
    <w:rsid w:val="00184BB7"/>
    <w:rsid w:val="001F52C6"/>
    <w:rsid w:val="002627F2"/>
    <w:rsid w:val="002E772B"/>
    <w:rsid w:val="003533F2"/>
    <w:rsid w:val="00375552"/>
    <w:rsid w:val="00414F9F"/>
    <w:rsid w:val="00415644"/>
    <w:rsid w:val="004338FA"/>
    <w:rsid w:val="00442A3B"/>
    <w:rsid w:val="0046097F"/>
    <w:rsid w:val="004945D1"/>
    <w:rsid w:val="004E10AE"/>
    <w:rsid w:val="004E5828"/>
    <w:rsid w:val="00523A58"/>
    <w:rsid w:val="00526C5C"/>
    <w:rsid w:val="00526ECA"/>
    <w:rsid w:val="0054279B"/>
    <w:rsid w:val="00567DC8"/>
    <w:rsid w:val="006836C7"/>
    <w:rsid w:val="006845E2"/>
    <w:rsid w:val="006A61B2"/>
    <w:rsid w:val="006D0DF6"/>
    <w:rsid w:val="00762F94"/>
    <w:rsid w:val="00787C7A"/>
    <w:rsid w:val="007D5448"/>
    <w:rsid w:val="008609E1"/>
    <w:rsid w:val="008A0BF2"/>
    <w:rsid w:val="008B3DC5"/>
    <w:rsid w:val="00920159"/>
    <w:rsid w:val="00976343"/>
    <w:rsid w:val="00A01F57"/>
    <w:rsid w:val="00A56B92"/>
    <w:rsid w:val="00A626FB"/>
    <w:rsid w:val="00AC699E"/>
    <w:rsid w:val="00B052AE"/>
    <w:rsid w:val="00B17441"/>
    <w:rsid w:val="00B74E61"/>
    <w:rsid w:val="00BB10DC"/>
    <w:rsid w:val="00C335A5"/>
    <w:rsid w:val="00CA52A3"/>
    <w:rsid w:val="00D53D7A"/>
    <w:rsid w:val="00D909D4"/>
    <w:rsid w:val="00DD5E40"/>
    <w:rsid w:val="00E94DB2"/>
    <w:rsid w:val="00EF7C1D"/>
    <w:rsid w:val="00F078EC"/>
    <w:rsid w:val="00F41836"/>
    <w:rsid w:val="00F47DB7"/>
    <w:rsid w:val="00F70400"/>
    <w:rsid w:val="32D44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1033</Words>
  <Characters>1322</Characters>
  <Lines>10</Lines>
  <Paragraphs>3</Paragraphs>
  <TotalTime>36</TotalTime>
  <ScaleCrop>false</ScaleCrop>
  <LinksUpToDate>false</LinksUpToDate>
  <CharactersWithSpaces>1353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2021-05-21T04:35:00Z</dcterms:created>
  <dc:creator>雪</dc:creator>
  <cp:lastModifiedBy>Cao.F</cp:lastModifiedBy>
  <dcterms:modified xsi:type="dcterms:W3CDTF">2023-06-06T06:43:30Z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AC9F83F2DCEC41A891DE3F6EA59C7ECB_12</vt:lpwstr>
  </property>
</Properties>
</file>