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528"/>
        <w:gridCol w:w="664"/>
        <w:gridCol w:w="1056"/>
        <w:gridCol w:w="1727"/>
        <w:gridCol w:w="1772"/>
        <w:gridCol w:w="2109"/>
        <w:gridCol w:w="1266"/>
        <w:gridCol w:w="1266"/>
        <w:gridCol w:w="1263"/>
        <w:gridCol w:w="1266"/>
        <w:gridCol w:w="1257"/>
      </w:tblGrid>
      <w:tr>
        <w:tblPrEx>
          <w:tblCellMar>
            <w:top w:w="0" w:type="dxa"/>
            <w:left w:w="108" w:type="dxa"/>
            <w:bottom w:w="0" w:type="dxa"/>
            <w:right w:w="108" w:type="dxa"/>
          </w:tblCellMar>
        </w:tblPrEx>
        <w:trPr>
          <w:trHeight w:val="567" w:hRule="atLeast"/>
        </w:trPr>
        <w:tc>
          <w:tcPr>
            <w:tcW w:w="5000" w:type="pct"/>
            <w:gridSpan w:val="11"/>
            <w:tcBorders>
              <w:top w:val="nil"/>
              <w:left w:val="nil"/>
              <w:bottom w:val="nil"/>
              <w:right w:val="nil"/>
            </w:tcBorders>
            <w:shd w:val="clear" w:color="auto" w:fill="auto"/>
            <w:vAlign w:val="center"/>
          </w:tcPr>
          <w:p>
            <w:pPr>
              <w:spacing w:line="480" w:lineRule="exact"/>
              <w:jc w:val="center"/>
              <w:rPr>
                <w:rFonts w:ascii="宋体" w:hAnsi="宋体" w:eastAsia="宋体" w:cs="宋体"/>
                <w:b/>
                <w:bCs/>
                <w:color w:val="000000"/>
                <w:kern w:val="0"/>
                <w:sz w:val="32"/>
                <w:szCs w:val="32"/>
              </w:rPr>
            </w:pPr>
            <w:bookmarkStart w:id="0" w:name="RANGE!A2:K22"/>
            <w:r>
              <w:rPr>
                <w:rFonts w:hint="eastAsia" w:ascii="方正小标宋简体" w:hAnsi="黑体" w:eastAsia="方正小标宋简体" w:cs="Times New Roman"/>
                <w:sz w:val="36"/>
                <w:szCs w:val="36"/>
              </w:rPr>
              <w:t>项目支出绩效自评表</w:t>
            </w:r>
            <w:bookmarkEnd w:id="0"/>
          </w:p>
        </w:tc>
      </w:tr>
      <w:tr>
        <w:tblPrEx>
          <w:tblCellMar>
            <w:top w:w="0" w:type="dxa"/>
            <w:left w:w="108" w:type="dxa"/>
            <w:bottom w:w="0" w:type="dxa"/>
            <w:right w:w="108" w:type="dxa"/>
          </w:tblCellMar>
        </w:tblPrEx>
        <w:trPr>
          <w:trHeight w:val="287" w:hRule="atLeast"/>
        </w:trPr>
        <w:tc>
          <w:tcPr>
            <w:tcW w:w="5000" w:type="pct"/>
            <w:gridSpan w:val="11"/>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年度）</w:t>
            </w:r>
          </w:p>
        </w:tc>
      </w:tr>
      <w:tr>
        <w:tblPrEx>
          <w:tblCellMar>
            <w:top w:w="0" w:type="dxa"/>
            <w:left w:w="108" w:type="dxa"/>
            <w:bottom w:w="0" w:type="dxa"/>
            <w:right w:w="108" w:type="dxa"/>
          </w:tblCellMar>
        </w:tblPrEx>
        <w:trPr>
          <w:trHeight w:val="287" w:hRule="atLeast"/>
        </w:trPr>
        <w:tc>
          <w:tcPr>
            <w:tcW w:w="168" w:type="pct"/>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2"/>
              </w:rPr>
            </w:pPr>
          </w:p>
        </w:tc>
        <w:tc>
          <w:tcPr>
            <w:tcW w:w="245"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293" w:type="pct"/>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620"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636"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755"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5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5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5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5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57" w:type="pct"/>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70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293" w:type="pct"/>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改善办学保障条件-首都体育学院冬奥会服务学校体育场馆场地条件建设</w:t>
            </w:r>
          </w:p>
        </w:tc>
      </w:tr>
      <w:tr>
        <w:tblPrEx>
          <w:tblCellMar>
            <w:top w:w="0" w:type="dxa"/>
            <w:left w:w="108" w:type="dxa"/>
            <w:bottom w:w="0" w:type="dxa"/>
            <w:right w:w="108" w:type="dxa"/>
          </w:tblCellMar>
        </w:tblPrEx>
        <w:trPr>
          <w:trHeight w:val="280" w:hRule="atLeast"/>
        </w:trPr>
        <w:tc>
          <w:tcPr>
            <w:tcW w:w="70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201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826"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首都体育学院</w:t>
            </w:r>
          </w:p>
        </w:tc>
      </w:tr>
      <w:tr>
        <w:trPr>
          <w:trHeight w:val="280" w:hRule="atLeast"/>
        </w:trPr>
        <w:tc>
          <w:tcPr>
            <w:tcW w:w="70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201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丁进国</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1826"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13621229950</w:t>
            </w:r>
          </w:p>
        </w:tc>
      </w:tr>
      <w:tr>
        <w:tblPrEx>
          <w:tblCellMar>
            <w:top w:w="0" w:type="dxa"/>
            <w:left w:w="108" w:type="dxa"/>
            <w:bottom w:w="0" w:type="dxa"/>
            <w:right w:w="108" w:type="dxa"/>
          </w:tblCellMar>
        </w:tblPrEx>
        <w:trPr>
          <w:trHeight w:val="565" w:hRule="atLeast"/>
        </w:trPr>
        <w:tc>
          <w:tcPr>
            <w:tcW w:w="707"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1255"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90" w:hRule="atLeast"/>
        </w:trPr>
        <w:tc>
          <w:tcPr>
            <w:tcW w:w="70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55"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75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126.908142</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126.908142</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121.005170</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95.35%</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9.54</w:t>
            </w:r>
          </w:p>
        </w:tc>
      </w:tr>
      <w:tr>
        <w:tblPrEx>
          <w:tblCellMar>
            <w:top w:w="0" w:type="dxa"/>
            <w:left w:w="108" w:type="dxa"/>
            <w:bottom w:w="0" w:type="dxa"/>
            <w:right w:w="108" w:type="dxa"/>
          </w:tblCellMar>
        </w:tblPrEx>
        <w:trPr>
          <w:trHeight w:val="280" w:hRule="atLeast"/>
        </w:trPr>
        <w:tc>
          <w:tcPr>
            <w:tcW w:w="70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55"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其中：当年财政拨款</w:t>
            </w:r>
          </w:p>
        </w:tc>
        <w:tc>
          <w:tcPr>
            <w:tcW w:w="75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126.908142</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126.908142</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121.005170</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0" w:hRule="atLeast"/>
        </w:trPr>
        <w:tc>
          <w:tcPr>
            <w:tcW w:w="70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7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25" w:hRule="atLeast"/>
        </w:trPr>
        <w:tc>
          <w:tcPr>
            <w:tcW w:w="70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7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65" w:hRule="atLeast"/>
        </w:trPr>
        <w:tc>
          <w:tcPr>
            <w:tcW w:w="168"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254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2283"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1860"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549"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年度产出成本为126.908142万元，达到预定投资目标要求。通过本改造项目实施，我校大学生体育馆基础设施水平得到改善，我校身体运动功能训练专业的教学和科研场地可以得到有效保障。具有良好的社会效益和经济效益。</w:t>
            </w:r>
          </w:p>
        </w:tc>
        <w:tc>
          <w:tcPr>
            <w:tcW w:w="2283" w:type="pct"/>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年度产出成本为121.00517万元，达到预定投资目标要求。通过本项目的实施，我校大学生体育馆基础设施水平得到改善，为服务2022年冬奥会相关工作奠定基础，具有良好的社会效益。冬奥会期间，大学生体育馆多次承担开闭幕式彩排、模拟训练等任务，圆满完成了保障冬奥的使命。</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本项目的实施也有效保障了我校体能运动训练等专业教学和科研工作的进行。2023年我校“科学训练与主动健康研究中心”在大学生体育馆二层挂牌成立，提高了我校体育学科水平和服务能力。</w:t>
            </w:r>
          </w:p>
        </w:tc>
      </w:tr>
      <w:tr>
        <w:tblPrEx>
          <w:tblCellMar>
            <w:top w:w="0" w:type="dxa"/>
            <w:left w:w="108" w:type="dxa"/>
            <w:bottom w:w="0" w:type="dxa"/>
            <w:right w:w="108" w:type="dxa"/>
          </w:tblCellMar>
        </w:tblPrEx>
        <w:trPr>
          <w:trHeight w:val="695" w:hRule="atLeast"/>
        </w:trPr>
        <w:tc>
          <w:tcPr>
            <w:tcW w:w="168" w:type="pct"/>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24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9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62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trHeight w:val="555"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2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62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改造数量</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≥2204.41平方米</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2204.41平方米</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无</w:t>
            </w:r>
          </w:p>
        </w:tc>
      </w:tr>
      <w:tr>
        <w:tblPrEx>
          <w:tblCellMar>
            <w:top w:w="0" w:type="dxa"/>
            <w:left w:w="108" w:type="dxa"/>
            <w:bottom w:w="0" w:type="dxa"/>
            <w:right w:w="108" w:type="dxa"/>
          </w:tblCellMar>
        </w:tblPrEx>
        <w:trPr>
          <w:trHeight w:val="740"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9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62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竣工验收</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45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无</w:t>
            </w:r>
          </w:p>
        </w:tc>
      </w:tr>
      <w:tr>
        <w:tblPrEx>
          <w:tblCellMar>
            <w:top w:w="0" w:type="dxa"/>
            <w:left w:w="108" w:type="dxa"/>
            <w:bottom w:w="0" w:type="dxa"/>
            <w:right w:w="108" w:type="dxa"/>
          </w:tblCellMar>
        </w:tblPrEx>
        <w:trPr>
          <w:trHeight w:val="560"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62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按期完工</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57"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无</w:t>
            </w:r>
          </w:p>
        </w:tc>
      </w:tr>
      <w:tr>
        <w:tblPrEx>
          <w:tblCellMar>
            <w:top w:w="0" w:type="dxa"/>
            <w:left w:w="108" w:type="dxa"/>
            <w:bottom w:w="0" w:type="dxa"/>
            <w:right w:w="108" w:type="dxa"/>
          </w:tblCellMar>
        </w:tblPrEx>
        <w:trPr>
          <w:trHeight w:val="565"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bookmarkStart w:id="1" w:name="_GoBack" w:colFirst="7" w:colLast="7"/>
          </w:p>
        </w:tc>
        <w:tc>
          <w:tcPr>
            <w:tcW w:w="2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62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控制在预算额度内</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≤126.908142万元</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121.00517万元</w:t>
            </w:r>
          </w:p>
        </w:tc>
        <w:tc>
          <w:tcPr>
            <w:tcW w:w="457"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5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项目经费实际执行有结余上交；改进措施：提高预算申报的精准度</w:t>
            </w:r>
          </w:p>
        </w:tc>
      </w:tr>
      <w:tr>
        <w:tblPrEx>
          <w:tblCellMar>
            <w:top w:w="0" w:type="dxa"/>
            <w:left w:w="108" w:type="dxa"/>
            <w:bottom w:w="0" w:type="dxa"/>
            <w:right w:w="108" w:type="dxa"/>
          </w:tblCellMar>
        </w:tblPrEx>
        <w:trPr>
          <w:trHeight w:val="3115"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益</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标</w:t>
            </w:r>
          </w:p>
        </w:tc>
        <w:tc>
          <w:tcPr>
            <w:tcW w:w="2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62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通过本项目的实施，我校大学生体育馆基础设施水平得到改善，为服务2022年冬奥会相关工作奠定基础，具有良好的社会效益。冬奥会期间，大学生体育馆多次承担开闭幕式彩排、模拟训练等任务，圆满完成了保障冬奥的使命。</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本项目的实施也有效保障了我校体能运动训练等专业教学和科研工作的进行。2023年我校“科学训练与主动健康研究中心”在大学生体育馆二层挂牌成立，提高了我校体育学科水平和服务能力。</w:t>
            </w:r>
          </w:p>
        </w:tc>
        <w:tc>
          <w:tcPr>
            <w:tcW w:w="457"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项目未设置效益指标。改进措施：申报项目规范填写项目的效益指标，以准确具体的体现出项目的效益</w:t>
            </w:r>
          </w:p>
        </w:tc>
      </w:tr>
      <w:tr>
        <w:tblPrEx>
          <w:tblCellMar>
            <w:top w:w="0" w:type="dxa"/>
            <w:left w:w="108" w:type="dxa"/>
            <w:bottom w:w="0" w:type="dxa"/>
            <w:right w:w="108" w:type="dxa"/>
          </w:tblCellMar>
        </w:tblPrEx>
        <w:trPr>
          <w:trHeight w:val="925" w:hRule="atLeast"/>
        </w:trPr>
        <w:tc>
          <w:tcPr>
            <w:tcW w:w="1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4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9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620"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广大师生满意度</w:t>
            </w:r>
          </w:p>
        </w:tc>
        <w:tc>
          <w:tcPr>
            <w:tcW w:w="6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75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广大师生满意度100%</w:t>
            </w:r>
          </w:p>
        </w:tc>
        <w:tc>
          <w:tcPr>
            <w:tcW w:w="457"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45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w:t>
            </w:r>
          </w:p>
        </w:tc>
        <w:tc>
          <w:tcPr>
            <w:tcW w:w="137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广大师生反馈效果良好，满意度可达100%</w:t>
            </w:r>
          </w:p>
        </w:tc>
      </w:tr>
      <w:bookmarkEnd w:id="1"/>
      <w:tr>
        <w:tblPrEx>
          <w:tblCellMar>
            <w:top w:w="0" w:type="dxa"/>
            <w:left w:w="108" w:type="dxa"/>
            <w:bottom w:w="0" w:type="dxa"/>
            <w:right w:w="108" w:type="dxa"/>
          </w:tblCellMar>
        </w:tblPrEx>
        <w:trPr>
          <w:trHeight w:val="500" w:hRule="atLeast"/>
        </w:trPr>
        <w:tc>
          <w:tcPr>
            <w:tcW w:w="2717"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91.54</w:t>
            </w:r>
          </w:p>
        </w:tc>
        <w:tc>
          <w:tcPr>
            <w:tcW w:w="1370"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　</w:t>
            </w:r>
          </w:p>
        </w:tc>
      </w:tr>
    </w:tbl>
    <w:p>
      <w:pPr>
        <w:rPr>
          <w:rFonts w:ascii="仿宋_GB2312" w:eastAsia="仿宋_GB2312"/>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yZmUzNjA1MmVhMDFhZWYwNWRiMTQ0MmRkZTBiMTkifQ=="/>
  </w:docVars>
  <w:rsids>
    <w:rsidRoot w:val="003533F2"/>
    <w:rsid w:val="000154F6"/>
    <w:rsid w:val="000C650A"/>
    <w:rsid w:val="00184BB7"/>
    <w:rsid w:val="001F52C6"/>
    <w:rsid w:val="002627F2"/>
    <w:rsid w:val="002E772B"/>
    <w:rsid w:val="003533F2"/>
    <w:rsid w:val="00375552"/>
    <w:rsid w:val="003A3A98"/>
    <w:rsid w:val="00414F9F"/>
    <w:rsid w:val="004338FA"/>
    <w:rsid w:val="00442A3B"/>
    <w:rsid w:val="0046097F"/>
    <w:rsid w:val="004E10AE"/>
    <w:rsid w:val="004E5828"/>
    <w:rsid w:val="00523A58"/>
    <w:rsid w:val="00526C5C"/>
    <w:rsid w:val="00526ECA"/>
    <w:rsid w:val="00531A32"/>
    <w:rsid w:val="0054279B"/>
    <w:rsid w:val="00567DC8"/>
    <w:rsid w:val="006836C7"/>
    <w:rsid w:val="006845E2"/>
    <w:rsid w:val="006A61B2"/>
    <w:rsid w:val="006D0DF6"/>
    <w:rsid w:val="00762F94"/>
    <w:rsid w:val="00787C7A"/>
    <w:rsid w:val="007D5448"/>
    <w:rsid w:val="008609E1"/>
    <w:rsid w:val="008A0BF2"/>
    <w:rsid w:val="008B0724"/>
    <w:rsid w:val="008B3DC5"/>
    <w:rsid w:val="00920159"/>
    <w:rsid w:val="00976343"/>
    <w:rsid w:val="00A01F57"/>
    <w:rsid w:val="00A56B92"/>
    <w:rsid w:val="00A626FB"/>
    <w:rsid w:val="00B052AE"/>
    <w:rsid w:val="00B17441"/>
    <w:rsid w:val="00BB10DC"/>
    <w:rsid w:val="00C335A5"/>
    <w:rsid w:val="00D53D7A"/>
    <w:rsid w:val="00D909D4"/>
    <w:rsid w:val="00DD5E40"/>
    <w:rsid w:val="00E037AF"/>
    <w:rsid w:val="00E94DB2"/>
    <w:rsid w:val="00EF7C1D"/>
    <w:rsid w:val="00F41836"/>
    <w:rsid w:val="00F47DB7"/>
    <w:rsid w:val="00F70400"/>
    <w:rsid w:val="4D382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905</Words>
  <Characters>1075</Characters>
  <Lines>9</Lines>
  <Paragraphs>2</Paragraphs>
  <TotalTime>35</TotalTime>
  <ScaleCrop>false</ScaleCrop>
  <LinksUpToDate>false</LinksUpToDate>
  <CharactersWithSpaces>1109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2021-05-21T04:35:00Z</dcterms:created>
  <dc:creator>雪</dc:creator>
  <cp:lastModifiedBy>Cao.F</cp:lastModifiedBy>
  <dcterms:modified xsi:type="dcterms:W3CDTF">2023-06-06T06:43:07Z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2C47C762DDD44B28AED1EFA79BFBFA2B_12</vt:lpwstr>
  </property>
</Properties>
</file>