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1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199"/>
        <w:gridCol w:w="690"/>
        <w:gridCol w:w="570"/>
        <w:gridCol w:w="645"/>
        <w:gridCol w:w="525"/>
        <w:gridCol w:w="7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3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北京市外国留学生奖学金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  <w:t>北京市教育委员会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北京市教委本级事业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刘亮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51994827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4672.96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4672.96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4672.96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4672.96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4672.96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4672.96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通过减免来京留学的外国留学生学费，吸引外国优秀学生来京学习。以奖学金为牵引和杠杆，引导高校着力提升留学生质量，优化留学生国别结构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学历生结构，进而推动本市来华留学教育提质增效</w:t>
            </w:r>
          </w:p>
        </w:tc>
        <w:tc>
          <w:tcPr>
            <w:tcW w:w="3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获得项目支持的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按计划开展工作，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采取多种措施提高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国际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培养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生源国别结构持续优化，较好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实现了项目预期目标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，推动我市来华留学事业的内涵发展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指标1：资助学生数量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资助1500名外国留学生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1.33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指标1：鼓励高校提高准入门槛，进一步优化留学生生源国别结构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向学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历教育倾斜，并不断优化生源国别结构和专业结构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指标1：各高校根据本校评审情况，2022年12月20日前按时完成本校奖学金评审划拨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在规定时间前完成奖学金评审划拨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指标1：市教委及各高校投入人力成本进行奖学金评审工作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组织专家开展评审工作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指标1：对于提升北京国际化程度、服务首都“四个中心”城市战略定位等都起到促进作用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通过奖学金资助，吸引更多优秀外国青年来京学习，有利于培养知华友华的生力军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指标1：留学生满意度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留学生 对各高校奖学金评审的程序、规则等的满意度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36A62449"/>
    <w:rsid w:val="3F711710"/>
    <w:rsid w:val="4B26517A"/>
    <w:rsid w:val="77BE4B89"/>
    <w:rsid w:val="7FFDD9C6"/>
    <w:rsid w:val="BFE32715"/>
    <w:rsid w:val="EBDEED65"/>
    <w:rsid w:val="FBEFE0AD"/>
    <w:rsid w:val="FE4F8399"/>
    <w:rsid w:val="FFFFE2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629</Words>
  <Characters>686</Characters>
  <Lines>8</Lines>
  <Paragraphs>2</Paragraphs>
  <TotalTime>11</TotalTime>
  <ScaleCrop>false</ScaleCrop>
  <LinksUpToDate>false</LinksUpToDate>
  <CharactersWithSpaces>750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Administrator</cp:lastModifiedBy>
  <cp:lastPrinted>2023-05-11T06:44:00Z</cp:lastPrinted>
  <dcterms:modified xsi:type="dcterms:W3CDTF">2023-06-09T13:15:06Z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E163569FC66E4A5C82C349BF24E528D2_12</vt:lpwstr>
  </property>
</Properties>
</file>