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Autospacing="0" w:afterAutospacing="0" w:line="480" w:lineRule="exact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beforeAutospacing="0" w:afterAutospacing="0" w:line="48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beforeAutospacing="0" w:afterAutospacing="0"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2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1058"/>
        <w:gridCol w:w="69"/>
        <w:gridCol w:w="441"/>
        <w:gridCol w:w="263"/>
        <w:gridCol w:w="262"/>
        <w:gridCol w:w="584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11000022T000000439140-国际合作与交流-</w:t>
            </w:r>
          </w:p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北京市“一带一路”国家人才培养基地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" w:eastAsia="zh-CN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北京市教委本级事业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  <w:lang w:eastAsia="zh-CN"/>
              </w:rPr>
              <w:t>刘月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  <w:lang w:val="en-US" w:eastAsia="zh-CN"/>
              </w:rPr>
              <w:t>66075023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年初预</w:t>
            </w:r>
          </w:p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全年预</w:t>
            </w:r>
          </w:p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全年</w:t>
            </w:r>
          </w:p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222.93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222.93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222.93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default" w:ascii="仿宋_GB2312" w:hAnsi="宋体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default" w:ascii="仿宋_GB2312" w:hAnsi="宋体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其中：当年财政</w:t>
            </w:r>
          </w:p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222.93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222.93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222.93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继续实施“紫禁城奖学金”，全奖资助7所部属高校“一带一路”沿线国家来京接受全日制硕士、博士学历教育的留学生和博士后。</w:t>
            </w:r>
          </w:p>
        </w:tc>
        <w:tc>
          <w:tcPr>
            <w:tcW w:w="3387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  <w:lang w:eastAsia="zh-CN"/>
              </w:rPr>
              <w:t>按时向相关高校拨付资金，指导各校根据项目管理办法开展人才培养工作。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年度</w:t>
            </w:r>
          </w:p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指标值</w:t>
            </w:r>
          </w:p>
        </w:tc>
        <w:tc>
          <w:tcPr>
            <w:tcW w:w="10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实际</w:t>
            </w:r>
          </w:p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完成值</w:t>
            </w:r>
          </w:p>
        </w:tc>
        <w:tc>
          <w:tcPr>
            <w:tcW w:w="5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分值</w:t>
            </w:r>
          </w:p>
        </w:tc>
        <w:tc>
          <w:tcPr>
            <w:tcW w:w="5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得分</w:t>
            </w: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left"/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指标1：资助高校数量</w:t>
            </w:r>
          </w:p>
        </w:tc>
        <w:tc>
          <w:tcPr>
            <w:tcW w:w="8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0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5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exact"/>
          <w:jc w:val="center"/>
        </w:trPr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left"/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指标1：进一步提高留学生培养质量</w:t>
            </w:r>
          </w:p>
        </w:tc>
        <w:tc>
          <w:tcPr>
            <w:tcW w:w="8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  <w:lang w:eastAsia="zh-CN"/>
              </w:rPr>
              <w:t>定性</w:t>
            </w:r>
          </w:p>
        </w:tc>
        <w:tc>
          <w:tcPr>
            <w:tcW w:w="10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  <w:lang w:val="en-US" w:eastAsia="zh-CN"/>
              </w:rPr>
              <w:t>留学生培养层次和国别结构不断优化</w:t>
            </w:r>
          </w:p>
        </w:tc>
        <w:tc>
          <w:tcPr>
            <w:tcW w:w="5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default" w:ascii="仿宋_GB2312" w:hAnsi="宋体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  <w:jc w:val="center"/>
        </w:trPr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left"/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  <w:lang w:eastAsia="zh-CN"/>
              </w:rPr>
              <w:t>按时完成资金拨付</w:t>
            </w:r>
          </w:p>
        </w:tc>
        <w:tc>
          <w:tcPr>
            <w:tcW w:w="8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  <w:lang w:val="en-US" w:eastAsia="zh-CN"/>
              </w:rPr>
              <w:t>12月底前</w:t>
            </w:r>
          </w:p>
        </w:tc>
        <w:tc>
          <w:tcPr>
            <w:tcW w:w="10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  <w:lang w:val="en-US" w:eastAsia="zh-CN"/>
              </w:rPr>
              <w:t>3月完成</w:t>
            </w:r>
          </w:p>
        </w:tc>
        <w:tc>
          <w:tcPr>
            <w:tcW w:w="5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exact"/>
          <w:jc w:val="center"/>
        </w:trPr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left"/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指标1：市教委及各高校投入人力成本进行项目管理工作</w:t>
            </w:r>
          </w:p>
        </w:tc>
        <w:tc>
          <w:tcPr>
            <w:tcW w:w="8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  <w:lang w:eastAsia="zh-CN"/>
              </w:rPr>
              <w:t>定性</w:t>
            </w:r>
          </w:p>
        </w:tc>
        <w:tc>
          <w:tcPr>
            <w:tcW w:w="10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  <w:lang w:eastAsia="zh-CN"/>
              </w:rPr>
              <w:t>市教委指导高校严格按照管理办法开展项目工作</w:t>
            </w:r>
          </w:p>
        </w:tc>
        <w:tc>
          <w:tcPr>
            <w:tcW w:w="5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4" w:hRule="exact"/>
          <w:jc w:val="center"/>
        </w:trPr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经济效益</w:t>
            </w:r>
          </w:p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left"/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指标1：服务“一带一路”建设</w:t>
            </w:r>
          </w:p>
        </w:tc>
        <w:tc>
          <w:tcPr>
            <w:tcW w:w="8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  <w:lang w:eastAsia="zh-CN"/>
              </w:rPr>
              <w:t>定性</w:t>
            </w:r>
          </w:p>
        </w:tc>
        <w:tc>
          <w:tcPr>
            <w:tcW w:w="10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吸引沿线国家的高层次优秀人才来京学习</w:t>
            </w:r>
            <w:r>
              <w:rPr>
                <w:rFonts w:hint="eastAsia" w:ascii="仿宋_GB2312" w:hAnsi="宋体" w:eastAsia="仿宋_GB2312"/>
                <w:kern w:val="0"/>
                <w:szCs w:val="21"/>
                <w:lang w:eastAsia="zh-CN"/>
              </w:rPr>
              <w:t>，为沿线国家和北京建设培养急需人才</w:t>
            </w:r>
          </w:p>
        </w:tc>
        <w:tc>
          <w:tcPr>
            <w:tcW w:w="5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default" w:ascii="仿宋_GB2312" w:hAnsi="宋体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  <w:lang w:val="en-US" w:eastAsia="zh-CN"/>
              </w:rPr>
              <w:t>19</w:t>
            </w: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6" w:hRule="exact"/>
          <w:jc w:val="center"/>
        </w:trPr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社会效益</w:t>
            </w:r>
          </w:p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left"/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指标1：留学生满意度</w:t>
            </w:r>
          </w:p>
        </w:tc>
        <w:tc>
          <w:tcPr>
            <w:tcW w:w="8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</w:rPr>
              <w:t>定性</w:t>
            </w:r>
          </w:p>
        </w:tc>
        <w:tc>
          <w:tcPr>
            <w:tcW w:w="10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  <w:lang w:eastAsia="zh-CN"/>
              </w:rPr>
              <w:t>疫情期间根据实际情况保质保量完成教育教学工作，加深学生获得感，深植</w:t>
            </w:r>
            <w:r>
              <w:rPr>
                <w:rFonts w:hint="eastAsia" w:ascii="仿宋_GB2312" w:hAnsi="宋体" w:eastAsia="仿宋_GB2312"/>
                <w:kern w:val="0"/>
                <w:szCs w:val="21"/>
              </w:rPr>
              <w:t>留学生对北京、对中国的感情</w:t>
            </w:r>
          </w:p>
        </w:tc>
        <w:tc>
          <w:tcPr>
            <w:tcW w:w="5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0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default" w:ascii="仿宋_GB2312" w:hAnsi="宋体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pacing w:val="-20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5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default" w:ascii="仿宋_GB2312" w:hAnsi="宋体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  <w:lang w:val="en-US" w:eastAsia="zh-CN"/>
              </w:rPr>
              <w:t>99</w:t>
            </w: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Autospacing="0" w:afterAutospacing="0" w:line="2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hint="eastAsia" w:ascii="仿宋_GB2312" w:hAnsi="宋体" w:eastAsia="仿宋_GB2312"/>
          <w:color w:val="000000"/>
          <w:kern w:val="0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isplayHorizontalDrawingGridEvery w:val="0"/>
  <w:displayVerticalDrawingGridEvery w:val="2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C2597F"/>
    <w:rsid w:val="636B3562"/>
    <w:rsid w:val="77BB1EB6"/>
    <w:rsid w:val="BFF791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默认段落字体1"/>
    <w:link w:val="1"/>
    <w:qFormat/>
    <w:uiPriority w:val="0"/>
  </w:style>
  <w:style w:type="table" w:customStyle="1" w:styleId="5">
    <w:name w:val="普通表格1"/>
    <w:qFormat/>
    <w:uiPriority w:val="0"/>
  </w:style>
  <w:style w:type="paragraph" w:customStyle="1" w:styleId="6">
    <w:name w:val="页脚1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7">
    <w:name w:val="页脚 Char"/>
    <w:link w:val="6"/>
    <w:qFormat/>
    <w:uiPriority w:val="0"/>
    <w:rPr>
      <w:sz w:val="18"/>
      <w:szCs w:val="18"/>
    </w:rPr>
  </w:style>
  <w:style w:type="paragraph" w:customStyle="1" w:styleId="8">
    <w:name w:val="页眉1"/>
    <w:basedOn w:val="1"/>
    <w:link w:val="9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link w:val="8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2023-05-11T06:16:00Z</dcterms:created>
  <dc:creator>18611125711</dc:creator>
  <cp:lastModifiedBy>Administrator</cp:lastModifiedBy>
  <cp:lastPrinted>2023-05-11T06:53:00Z</cp:lastPrinted>
  <dcterms:modified xsi:type="dcterms:W3CDTF">2023-06-09T13:15:36Z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