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10" w:type="dxa"/>
        <w:tblLayout w:type="autofit"/>
        <w:tblCellMar>
          <w:top w:w="0" w:type="dxa"/>
          <w:left w:w="108" w:type="dxa"/>
          <w:bottom w:w="0" w:type="dxa"/>
          <w:right w:w="108" w:type="dxa"/>
        </w:tblCellMar>
      </w:tblPr>
      <w:tblGrid>
        <w:gridCol w:w="528"/>
        <w:gridCol w:w="530"/>
        <w:gridCol w:w="1020"/>
        <w:gridCol w:w="1104"/>
        <w:gridCol w:w="975"/>
        <w:gridCol w:w="1370"/>
        <w:gridCol w:w="1233"/>
        <w:gridCol w:w="1233"/>
        <w:gridCol w:w="450"/>
        <w:gridCol w:w="860"/>
        <w:gridCol w:w="649"/>
      </w:tblGrid>
      <w:tr>
        <w:tblPrEx>
          <w:tblCellMar>
            <w:top w:w="0" w:type="dxa"/>
            <w:left w:w="108" w:type="dxa"/>
            <w:bottom w:w="0" w:type="dxa"/>
            <w:right w:w="108" w:type="dxa"/>
          </w:tblCellMar>
        </w:tblPrEx>
        <w:trPr>
          <w:trHeight w:val="408"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bookmarkStart w:id="0" w:name="_GoBack"/>
            <w:bookmarkEnd w:id="0"/>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79"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8"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科技创新服务能力建设-前沿医学研究院建设经费（科研类）</w:t>
            </w:r>
          </w:p>
        </w:tc>
      </w:tr>
      <w:tr>
        <w:tblPrEx>
          <w:tblCellMar>
            <w:top w:w="0" w:type="dxa"/>
            <w:left w:w="108" w:type="dxa"/>
            <w:bottom w:w="0" w:type="dxa"/>
            <w:right w:w="108" w:type="dxa"/>
          </w:tblCellMar>
        </w:tblPrEx>
        <w:trPr>
          <w:trHeight w:val="288"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首都医科大学</w:t>
            </w:r>
          </w:p>
        </w:tc>
      </w:tr>
      <w:tr>
        <w:tblPrEx>
          <w:tblCellMar>
            <w:top w:w="0" w:type="dxa"/>
            <w:left w:w="108" w:type="dxa"/>
            <w:bottom w:w="0" w:type="dxa"/>
            <w:right w:w="108" w:type="dxa"/>
          </w:tblCellMar>
        </w:tblPrEx>
        <w:trPr>
          <w:trHeight w:val="288"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288"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项目资金</w:t>
            </w:r>
          </w:p>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r>
      <w:tr>
        <w:tblPrEx>
          <w:tblCellMar>
            <w:top w:w="0" w:type="dxa"/>
            <w:left w:w="108" w:type="dxa"/>
            <w:bottom w:w="0" w:type="dxa"/>
            <w:right w:w="108" w:type="dxa"/>
          </w:tblCellMar>
        </w:tblPrEx>
        <w:trPr>
          <w:trHeight w:val="288"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20"/>
              </w:rPr>
            </w:pPr>
            <w:r>
              <w:rPr>
                <w:rFonts w:hint="eastAsia" w:ascii="宋体" w:hAnsi="宋体" w:eastAsia="宋体" w:cs="宋体"/>
                <w:color w:val="000000"/>
                <w:kern w:val="0"/>
                <w:sz w:val="18"/>
                <w:szCs w:val="20"/>
              </w:rPr>
              <w:t>3274.000000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20"/>
              </w:rPr>
            </w:pPr>
            <w:r>
              <w:rPr>
                <w:rFonts w:hint="eastAsia" w:ascii="宋体" w:hAnsi="宋体" w:eastAsia="宋体" w:cs="宋体"/>
                <w:color w:val="000000"/>
                <w:kern w:val="0"/>
                <w:sz w:val="18"/>
                <w:szCs w:val="20"/>
              </w:rPr>
              <w:t>1400.000000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42.76%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4.28 </w:t>
            </w:r>
          </w:p>
        </w:tc>
      </w:tr>
      <w:tr>
        <w:tblPrEx>
          <w:tblCellMar>
            <w:top w:w="0" w:type="dxa"/>
            <w:left w:w="108" w:type="dxa"/>
            <w:bottom w:w="0" w:type="dxa"/>
            <w:right w:w="108" w:type="dxa"/>
          </w:tblCellMar>
        </w:tblPrEx>
        <w:trPr>
          <w:trHeight w:val="288"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20"/>
              </w:rPr>
            </w:pPr>
            <w:r>
              <w:rPr>
                <w:rFonts w:hint="eastAsia" w:ascii="宋体" w:hAnsi="宋体" w:eastAsia="宋体" w:cs="宋体"/>
                <w:color w:val="000000"/>
                <w:kern w:val="0"/>
                <w:sz w:val="18"/>
                <w:szCs w:val="20"/>
              </w:rPr>
              <w:t>3274.000000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20"/>
              </w:rPr>
            </w:pPr>
            <w:r>
              <w:rPr>
                <w:rFonts w:hint="eastAsia" w:ascii="宋体" w:hAnsi="宋体" w:eastAsia="宋体" w:cs="宋体"/>
                <w:color w:val="000000"/>
                <w:kern w:val="0"/>
                <w:sz w:val="18"/>
                <w:szCs w:val="20"/>
              </w:rPr>
              <w:t>1400.000000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42.76%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CellMar>
            <w:top w:w="0" w:type="dxa"/>
            <w:left w:w="108" w:type="dxa"/>
            <w:bottom w:w="0" w:type="dxa"/>
            <w:right w:w="108" w:type="dxa"/>
          </w:tblCellMar>
        </w:tblPrEx>
        <w:trPr>
          <w:trHeight w:val="288"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CellMar>
            <w:top w:w="0" w:type="dxa"/>
            <w:left w:w="108" w:type="dxa"/>
            <w:bottom w:w="0" w:type="dxa"/>
            <w:right w:w="108" w:type="dxa"/>
          </w:tblCellMar>
        </w:tblPrEx>
        <w:trPr>
          <w:trHeight w:val="288"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CellMar>
            <w:top w:w="0" w:type="dxa"/>
            <w:left w:w="108" w:type="dxa"/>
            <w:bottom w:w="0" w:type="dxa"/>
            <w:right w:w="108" w:type="dxa"/>
          </w:tblCellMar>
        </w:tblPrEx>
        <w:trPr>
          <w:trHeight w:val="288"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实际完成情况</w:t>
            </w:r>
          </w:p>
        </w:tc>
      </w:tr>
      <w:tr>
        <w:tblPrEx>
          <w:tblCellMar>
            <w:top w:w="0" w:type="dxa"/>
            <w:left w:w="108" w:type="dxa"/>
            <w:bottom w:w="0" w:type="dxa"/>
            <w:right w:w="108" w:type="dxa"/>
          </w:tblCellMar>
        </w:tblPrEx>
        <w:trPr>
          <w:trHeight w:val="5139"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eastAsia="宋体" w:cs="宋体"/>
                <w:kern w:val="0"/>
                <w:sz w:val="20"/>
                <w:szCs w:val="20"/>
              </w:rPr>
              <w:t xml:space="preserve">    为贯彻落实健康中国战略，加快建设创新型国家，服务首都“科创中心”建设，汇聚一批世界范围内高水平华人专家学者在生命科学和医学领域进行原创性研究，并在此基础上加快实现创新成果转化及产业化发展。学校拟建设首都医科大学前沿医学研究院。前沿医学研究院作为学校新型研发平台和学校的科技特区和人才特区，“搭平台、聚人才、出成果”，结合附属医院的临床优势，依托独立运行的研究团队，着力推进新体制新机制建设，破除体制机制障碍，尽可能为北京医学研究机构体制机制的探索提供基础，前沿医学研究院先期建设，是首都医学科学中心的前身。</w:t>
            </w:r>
          </w:p>
          <w:p>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研究院根据科学研究、技术创新和人才培养的实际需求，以临床专科院系优势领域为核心下设研究中心，灵活配置人员、组织团队。并在全球视野下加快吸纳、集聚、培养一批国内外顶尖高层次创新人才，着力打造高水平创新团队；鼓励学科交叉，推动学科发展，着力推动现代科学前沿技术在医学领域的应用，产生一批有影响的成果，促进核心竞争力提升，为北京乃至国家贡献原创性技术，促进解决人类健康领域的重大疑难问题和健康产业的发展，并在此基础上加快实现创新成果转化及产业化发展。该研究院在首都医科大学新校址建设完成前，需租用中关村医疗器械园一期12-3号楼（规证13号楼），一共五层，单栋面积3919.12平方米，5年租金合计约3274万元。</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2021年6月与中关村器械园签署租赁合同，租用中关村医疗器械园一期12-3号楼（规证13号楼），一共五层，单栋面积3919.12平方米，共租用5年，租金费用为3268.644058万元。2021年9月18日至2021年12月20日为房屋装修期按照租赁合同免交租金，在此期间按照租赁合同租金支付约定时间分2批共支付1400万元。2021年12月15日通过建委验收，2021年12月28日和2022年1月11日首都医科大学相关部门对租用房屋进行两次验收，根据图纸及实际使用需求提出整改意见，同时启动环评程序，撰写环评报告、专项报告。2022年2月底器械园方完成初步整改，环评报告已提交至大兴区</w:t>
            </w:r>
            <w:r>
              <w:rPr>
                <w:rFonts w:hint="eastAsia" w:ascii="宋体" w:hAnsi="宋体" w:eastAsia="宋体" w:cs="宋体"/>
                <w:kern w:val="0"/>
                <w:sz w:val="20"/>
                <w:szCs w:val="20"/>
                <w:lang w:eastAsia="zh-CN"/>
              </w:rPr>
              <w:t>生态环境局</w:t>
            </w:r>
            <w:r>
              <w:rPr>
                <w:rFonts w:hint="eastAsia" w:ascii="宋体" w:hAnsi="宋体" w:eastAsia="宋体" w:cs="宋体"/>
                <w:kern w:val="0"/>
                <w:sz w:val="20"/>
                <w:szCs w:val="20"/>
              </w:rPr>
              <w:t>进行审批。针对环评事项在租赁合同中未明确说明，首都医科大学与中关村器械园经商讨起草且预签署租赁合同之补充协议，涉及环境影响评价、租用起租日期、交付标准等，明确待大兴区生态环境局对提交的环境影响报告做出批复且器械园方按照批复要求完成环保设施安装后10个工作日内，向器械园方支付第三期租金1818.644058万元，待环评验收合格后10个工作日内，向器械园方支付租金尾款50万元。对北京市新型研发机构和国家实验室进行多次调研学习，着力推进新体制新机制建设，破除体制机制障碍，为北京医学研究机构体制机制的探索提供基础。</w:t>
            </w:r>
          </w:p>
        </w:tc>
      </w:tr>
      <w:tr>
        <w:tblPrEx>
          <w:tblCellMar>
            <w:top w:w="0" w:type="dxa"/>
            <w:left w:w="108" w:type="dxa"/>
            <w:bottom w:w="0" w:type="dxa"/>
            <w:right w:w="108" w:type="dxa"/>
          </w:tblCellMar>
        </w:tblPrEx>
        <w:trPr>
          <w:trHeight w:val="741" w:hRule="atLeast"/>
        </w:trPr>
        <w:tc>
          <w:tcPr>
            <w:tcW w:w="0" w:type="auto"/>
            <w:vMerge w:val="restart"/>
            <w:tcBorders>
              <w:top w:val="nil"/>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偏差原因分析及改进</w:t>
            </w:r>
          </w:p>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681"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产出指标（50分）</w:t>
            </w: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人才引进</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组建分中心，引进人才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3个团队</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7.1</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未设置量化指标，指标制定合理性和准确性有待进一步提升　</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成果产出</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完成场地租用；遴选优势学科；组建分中心，引进人才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完成场地租用，实验室装修，进行环评；完成3个团队引进</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未设置量化指标，指标制定合理性和准确性有待进一步提升　</w:t>
            </w:r>
          </w:p>
        </w:tc>
      </w:tr>
      <w:tr>
        <w:tblPrEx>
          <w:tblCellMar>
            <w:top w:w="0" w:type="dxa"/>
            <w:left w:w="108" w:type="dxa"/>
            <w:bottom w:w="0" w:type="dxa"/>
            <w:right w:w="108" w:type="dxa"/>
          </w:tblCellMar>
        </w:tblPrEx>
        <w:trPr>
          <w:trHeight w:val="681"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人才引进</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组建分中心，引进国际顶尖人才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成功引进高水平人才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4.3</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指标制定准确性有待进一步提升　</w:t>
            </w:r>
          </w:p>
        </w:tc>
      </w:tr>
      <w:tr>
        <w:tblPrEx>
          <w:tblCellMar>
            <w:top w:w="0" w:type="dxa"/>
            <w:left w:w="108" w:type="dxa"/>
            <w:bottom w:w="0" w:type="dxa"/>
            <w:right w:w="108" w:type="dxa"/>
          </w:tblCellMar>
        </w:tblPrEx>
        <w:trPr>
          <w:trHeight w:val="96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成果产出</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完成场地租用；遴选优势学科；组建分中心，引进人才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顺利完成场地租用，实验室装修，启动环评程序；成功引进高水平人才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4.3</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指标制定准确性有待进一步提升　</w:t>
            </w:r>
          </w:p>
        </w:tc>
      </w:tr>
      <w:tr>
        <w:tblPrEx>
          <w:tblCellMar>
            <w:top w:w="0" w:type="dxa"/>
            <w:left w:w="108" w:type="dxa"/>
            <w:bottom w:w="0" w:type="dxa"/>
            <w:right w:w="108" w:type="dxa"/>
          </w:tblCellMar>
        </w:tblPrEx>
        <w:trPr>
          <w:trHeight w:val="135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服务平台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研究院将开放公共研究平台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对北京市新型研发机构进行多次调研学习，建章立制，根据科研团队需求，调研仪器参数及预算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4.3</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指标制定准确性有待进一步提升　</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项目进展进度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2021年完成预期产出目标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签署房屋租赁合同，完成房屋装修、验收及整改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指标制定准确性及细化程度有待进一步提升　</w:t>
            </w:r>
          </w:p>
        </w:tc>
      </w:tr>
      <w:tr>
        <w:tblPrEx>
          <w:tblCellMar>
            <w:top w:w="0" w:type="dxa"/>
            <w:left w:w="108" w:type="dxa"/>
            <w:bottom w:w="0" w:type="dxa"/>
            <w:right w:w="108" w:type="dxa"/>
          </w:tblCellMar>
        </w:tblPrEx>
        <w:trPr>
          <w:trHeight w:val="423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项目预算控制数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总成本控制在批复预算额度以内</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批复预算额度为3274万元，签署租赁合同5年租金共3268.644058万元，总额控制在批复预算额度以内，已支出2期租金1400万元，余下租金按租赁合同之补充协议规定支付</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预算经费3274万主要为房屋租用费用，租赁合同规定“交付的房屋验收合格（即通过建委验收且我方按图纸验收合格）后，支付第3期租金即全部尾款。”，而租赁合同中环评事项未明确提出，首都医科大学与中关村器械园经商讨起草、预签署租赁合同之补充协议，约定“乙方于大兴区生态环境局对提交的环境影响报告做出批复且甲方按照批复要求完成环保设施安装后【10】个工作日内，向甲方支付第三期租金18186440.58元，待环评验收合格后【10】个工作日内，向甲方支付租金尾款50万元。”目前，环评申请已提交至大兴</w:t>
            </w:r>
            <w:r>
              <w:rPr>
                <w:rFonts w:hint="eastAsia" w:ascii="宋体" w:hAnsi="宋体" w:eastAsia="宋体" w:cs="宋体"/>
                <w:color w:val="000000"/>
                <w:kern w:val="0"/>
                <w:sz w:val="18"/>
                <w:szCs w:val="18"/>
                <w:lang w:eastAsia="zh-CN"/>
              </w:rPr>
              <w:t>生态环境局</w:t>
            </w:r>
            <w:r>
              <w:rPr>
                <w:rFonts w:hint="eastAsia" w:ascii="宋体" w:hAnsi="宋体" w:eastAsia="宋体" w:cs="宋体"/>
                <w:color w:val="000000"/>
                <w:kern w:val="0"/>
                <w:sz w:val="18"/>
                <w:szCs w:val="18"/>
              </w:rPr>
              <w:t>进行环评审批，预计5月支付第三期租金。</w:t>
            </w:r>
          </w:p>
        </w:tc>
      </w:tr>
      <w:tr>
        <w:tblPrEx>
          <w:tblCellMar>
            <w:top w:w="0" w:type="dxa"/>
            <w:left w:w="108" w:type="dxa"/>
            <w:bottom w:w="0" w:type="dxa"/>
            <w:right w:w="108" w:type="dxa"/>
          </w:tblCellMar>
        </w:tblPrEx>
        <w:trPr>
          <w:trHeight w:val="16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nil"/>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效益指标（30分）</w:t>
            </w: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学科建设</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鼓励学科交叉，推动学科发展，着力推动现代科学前沿技术在医学领域的应用，成为学校新型研发平台和学校的科技特区和人才特区</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按照项目要求，成功引进3个团队</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基本完成既定目标，效益发挥有待更进一步提升　</w:t>
            </w:r>
          </w:p>
        </w:tc>
      </w:tr>
      <w:tr>
        <w:tblPrEx>
          <w:tblCellMar>
            <w:top w:w="0" w:type="dxa"/>
            <w:left w:w="108" w:type="dxa"/>
            <w:bottom w:w="0" w:type="dxa"/>
            <w:right w:w="108" w:type="dxa"/>
          </w:tblCellMar>
        </w:tblPrEx>
        <w:trPr>
          <w:trHeight w:val="240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社会效益</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产生一批有影响的成果，促进核心竞争力提升，为北京乃至国家贡献原创性技术，促进解决人类健康领域的重大疑难问题和健康产业的发展，并在此基础上加快实现创新成果转化及产业化发展。</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为首都医疗机构和企业培养生物医药转化和临床研究的复合型人才；促进原创性医学科技成果产出与转化；支撑首都生物医药产业创新性发展，助力北京“国际科技创新中心”建设</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基本完成既定目标，效益发挥有待更进一步提升　</w:t>
            </w:r>
          </w:p>
        </w:tc>
      </w:tr>
      <w:tr>
        <w:tblPrEx>
          <w:tblCellMar>
            <w:top w:w="0" w:type="dxa"/>
            <w:left w:w="108" w:type="dxa"/>
            <w:bottom w:w="0" w:type="dxa"/>
            <w:right w:w="108" w:type="dxa"/>
          </w:tblCellMar>
        </w:tblPrEx>
        <w:trPr>
          <w:trHeight w:val="16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可持续影响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汇聚一批世界范围内高水平华人专家学者在生命科学和医学领域进行原创性研究，并在此基础上加快实现创新成果转化及产业化发展</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汇聚高水平专家，开展临床基础与转化原创性前沿研究，为生物医药产业的可持续发展奠定基础</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基本完成既定目标，效益发挥有待更进一步提升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满意度指标（10分）</w:t>
            </w: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引进人才满意度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完善服务体系，满意度达90%</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引进3个团队，满意度95%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完成既定指标，但满意度调查资料有待进一步完善　　</w:t>
            </w:r>
          </w:p>
        </w:tc>
      </w:tr>
      <w:tr>
        <w:tblPrEx>
          <w:tblCellMar>
            <w:top w:w="0" w:type="dxa"/>
            <w:left w:w="108" w:type="dxa"/>
            <w:bottom w:w="0" w:type="dxa"/>
            <w:right w:w="108" w:type="dxa"/>
          </w:tblCellMar>
        </w:tblPrEx>
        <w:trPr>
          <w:trHeight w:val="74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中心管理人员满意度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建立信息化平台建设，提高办事效率，满意度达90%</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color w:val="000000"/>
                <w:kern w:val="0"/>
                <w:sz w:val="20"/>
                <w:szCs w:val="20"/>
              </w:rPr>
            </w:pPr>
            <w:r>
              <w:rPr>
                <w:rFonts w:hint="eastAsia" w:ascii="宋体" w:hAnsi="宋体" w:eastAsia="宋体" w:cs="Times New Roman"/>
                <w:color w:val="000000"/>
                <w:kern w:val="0"/>
                <w:sz w:val="20"/>
                <w:szCs w:val="20"/>
              </w:rPr>
              <w:t>组建人员队伍，构建管理体系，提高办事效率，满意度97</w:t>
            </w:r>
            <w:r>
              <w:rPr>
                <w:rFonts w:ascii="Times New Roman" w:hAnsi="Times New Roman" w:eastAsia="宋体" w:cs="Times New Roman"/>
                <w:color w:val="000000"/>
                <w:kern w:val="0"/>
                <w:sz w:val="20"/>
                <w:szCs w:val="20"/>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2.7</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完成既定指标，但满意度调查资料有待进一步完善　</w:t>
            </w:r>
          </w:p>
        </w:tc>
      </w:tr>
      <w:tr>
        <w:tblPrEx>
          <w:tblCellMar>
            <w:top w:w="0" w:type="dxa"/>
            <w:left w:w="108" w:type="dxa"/>
            <w:bottom w:w="0" w:type="dxa"/>
            <w:right w:w="108" w:type="dxa"/>
          </w:tblCellMar>
        </w:tblPrEx>
        <w:trPr>
          <w:trHeight w:val="72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中心科研人员满意度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促进学术交流与合作，满意度达90%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按照科研人员实际需求调研、服务，满意度95%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3.6</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完成既定指标，但满意度调查资料有待进一步完善　</w:t>
            </w:r>
          </w:p>
        </w:tc>
      </w:tr>
      <w:tr>
        <w:tblPrEx>
          <w:tblCellMar>
            <w:top w:w="0" w:type="dxa"/>
            <w:left w:w="108" w:type="dxa"/>
            <w:bottom w:w="0" w:type="dxa"/>
            <w:right w:w="108" w:type="dxa"/>
          </w:tblCellMar>
        </w:tblPrEx>
        <w:trPr>
          <w:trHeight w:val="471"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xml:space="preserve">80.08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3F038E"/>
    <w:rsid w:val="00247490"/>
    <w:rsid w:val="003C35F7"/>
    <w:rsid w:val="003F038E"/>
    <w:rsid w:val="0057552C"/>
    <w:rsid w:val="00BC5288"/>
    <w:rsid w:val="00DD2DC2"/>
    <w:rsid w:val="00E41203"/>
    <w:rsid w:val="00E41B87"/>
    <w:rsid w:val="5D5B4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472</Words>
  <Characters>2691</Characters>
  <Lines>22</Lines>
  <Paragraphs>6</Paragraphs>
  <TotalTime>5</TotalTime>
  <ScaleCrop>false</ScaleCrop>
  <LinksUpToDate>false</LinksUpToDate>
  <CharactersWithSpaces>3157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2022-04-25T13:34:00Z</dcterms:created>
  <dc:creator>CQP03郭丰</dc:creator>
  <cp:lastModifiedBy>苏坡云☁️</cp:lastModifiedBy>
  <dcterms:modified xsi:type="dcterms:W3CDTF">2024-04-26T02:11:36Z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B60115F8550645058427233EA6FDD31B_12</vt:lpwstr>
  </property>
</Properties>
</file>