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tblInd w:w="0" w:type="dxa"/>
        <w:tblLayout w:type="autofit"/>
        <w:tblCellMar>
          <w:top w:w="0" w:type="dxa"/>
          <w:left w:w="108" w:type="dxa"/>
          <w:bottom w:w="0" w:type="dxa"/>
          <w:right w:w="108" w:type="dxa"/>
        </w:tblCellMar>
      </w:tblPr>
      <w:tblGrid>
        <w:gridCol w:w="528"/>
        <w:gridCol w:w="549"/>
        <w:gridCol w:w="1059"/>
        <w:gridCol w:w="1163"/>
        <w:gridCol w:w="2858"/>
        <w:gridCol w:w="2382"/>
        <w:gridCol w:w="1503"/>
        <w:gridCol w:w="1503"/>
        <w:gridCol w:w="563"/>
        <w:gridCol w:w="1162"/>
        <w:gridCol w:w="904"/>
      </w:tblGrid>
      <w:tr>
        <w:tblPrEx>
          <w:tblCellMar>
            <w:top w:w="0" w:type="dxa"/>
            <w:left w:w="108" w:type="dxa"/>
            <w:bottom w:w="0" w:type="dxa"/>
            <w:right w:w="108" w:type="dxa"/>
          </w:tblCellMar>
        </w:tblPrEx>
        <w:trPr>
          <w:trHeight w:val="420"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b/>
                <w:bCs/>
                <w:color w:val="000000"/>
                <w:kern w:val="0"/>
                <w:sz w:val="32"/>
                <w:szCs w:val="32"/>
              </w:rPr>
            </w:pPr>
            <w:r>
              <w:rPr>
                <w:rFonts w:hint="eastAsia" w:ascii="宋体" w:hAnsi="宋体" w:eastAsia="宋体" w:cs="宋体"/>
                <w:b/>
                <w:bCs/>
                <w:color w:val="000000"/>
                <w:kern w:val="0"/>
                <w:sz w:val="32"/>
                <w:szCs w:val="32"/>
              </w:rPr>
              <w:t>项目支出绩效自评表</w:t>
            </w:r>
            <w:r>
              <w:rPr>
                <w:rFonts w:hint="eastAsia" w:ascii="宋体" w:hAnsi="宋体" w:eastAsia="宋体" w:cs="宋体"/>
                <w:color w:val="000000"/>
                <w:kern w:val="0"/>
                <w:sz w:val="32"/>
                <w:szCs w:val="32"/>
              </w:rPr>
              <w:t xml:space="preserve"> </w:t>
            </w:r>
          </w:p>
        </w:tc>
      </w:tr>
      <w:tr>
        <w:tblPrEx>
          <w:tblCellMar>
            <w:top w:w="0" w:type="dxa"/>
            <w:left w:w="108" w:type="dxa"/>
            <w:bottom w:w="0" w:type="dxa"/>
            <w:right w:w="108" w:type="dxa"/>
          </w:tblCellMar>
        </w:tblPrEx>
        <w:trPr>
          <w:trHeight w:val="284" w:hRule="atLeast"/>
        </w:trPr>
        <w:tc>
          <w:tcPr>
            <w:tcW w:w="0" w:type="auto"/>
            <w:gridSpan w:val="11"/>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（2021年度）</w:t>
            </w:r>
          </w:p>
        </w:tc>
      </w:tr>
      <w:tr>
        <w:tblPrEx>
          <w:tblCellMar>
            <w:top w:w="0" w:type="dxa"/>
            <w:left w:w="108" w:type="dxa"/>
            <w:bottom w:w="0" w:type="dxa"/>
            <w:right w:w="108" w:type="dxa"/>
          </w:tblCellMar>
        </w:tblPrEx>
        <w:trPr>
          <w:trHeight w:val="287" w:hRule="atLeast"/>
        </w:trPr>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2"/>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center"/>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c>
          <w:tcPr>
            <w:tcW w:w="0" w:type="auto"/>
            <w:tcBorders>
              <w:top w:val="nil"/>
              <w:left w:val="nil"/>
              <w:bottom w:val="nil"/>
              <w:right w:val="nil"/>
            </w:tcBorders>
            <w:shd w:val="clear" w:color="auto" w:fill="auto"/>
            <w:vAlign w:val="center"/>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项目名称</w:t>
            </w:r>
          </w:p>
        </w:tc>
        <w:tc>
          <w:tcPr>
            <w:tcW w:w="0" w:type="auto"/>
            <w:gridSpan w:val="8"/>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改善办学保障条件—北京信息科技大学新校区窗帘采购项目</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主管部门</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北京市教育委员会</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实施单位</w:t>
            </w:r>
          </w:p>
        </w:tc>
        <w:tc>
          <w:tcPr>
            <w:tcW w:w="0" w:type="auto"/>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北京信息科技大学</w:t>
            </w:r>
          </w:p>
        </w:tc>
      </w:tr>
      <w:tr>
        <w:tblPrEx>
          <w:tblCellMar>
            <w:top w:w="0" w:type="dxa"/>
            <w:left w:w="108" w:type="dxa"/>
            <w:bottom w:w="0" w:type="dxa"/>
            <w:right w:w="108" w:type="dxa"/>
          </w:tblCellMar>
        </w:tblPrEx>
        <w:trPr>
          <w:trHeight w:val="287" w:hRule="atLeast"/>
        </w:trPr>
        <w:tc>
          <w:tcPr>
            <w:tcW w:w="0" w:type="auto"/>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项目负责人</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郑召义</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联系电话</w:t>
            </w:r>
          </w:p>
        </w:tc>
        <w:tc>
          <w:tcPr>
            <w:tcW w:w="0" w:type="auto"/>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82426957</w:t>
            </w:r>
          </w:p>
        </w:tc>
      </w:tr>
      <w:tr>
        <w:tblPrEx>
          <w:tblCellMar>
            <w:top w:w="0" w:type="dxa"/>
            <w:left w:w="108" w:type="dxa"/>
            <w:bottom w:w="0" w:type="dxa"/>
            <w:right w:w="108" w:type="dxa"/>
          </w:tblCellMar>
        </w:tblPrEx>
        <w:trPr>
          <w:trHeight w:val="569" w:hRule="atLeast"/>
        </w:trPr>
        <w:tc>
          <w:tcPr>
            <w:tcW w:w="0" w:type="auto"/>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项目资金</w:t>
            </w:r>
            <w:r>
              <w:rPr>
                <w:rFonts w:hint="eastAsia" w:ascii="宋体" w:hAnsi="宋体" w:eastAsia="宋体" w:cs="宋体"/>
                <w:color w:val="000000"/>
                <w:kern w:val="0"/>
                <w:sz w:val="22"/>
              </w:rPr>
              <w:br w:type="textWrapping"/>
            </w:r>
            <w:r>
              <w:rPr>
                <w:rFonts w:hint="eastAsia" w:ascii="宋体" w:hAnsi="宋体" w:eastAsia="宋体"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年初预算数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全年预算数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全年执行数</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执行率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得分</w:t>
            </w:r>
          </w:p>
        </w:tc>
      </w:tr>
      <w:tr>
        <w:tblPrEx>
          <w:tblCellMar>
            <w:top w:w="0" w:type="dxa"/>
            <w:left w:w="108" w:type="dxa"/>
            <w:bottom w:w="0" w:type="dxa"/>
            <w:right w:w="108" w:type="dxa"/>
          </w:tblCellMar>
        </w:tblPrEx>
        <w:trPr>
          <w:trHeight w:val="294"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年度资金总额：</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100.00%</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xml:space="preserve">10.00 </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其中：当年财政拨款</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0.000000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588.001500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287"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上年结转资金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29" w:hRule="atLeast"/>
        </w:trPr>
        <w:tc>
          <w:tcPr>
            <w:tcW w:w="0" w:type="auto"/>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2"/>
            <w:tcBorders>
              <w:top w:val="single" w:color="auto" w:sz="4" w:space="0"/>
              <w:left w:val="nil"/>
              <w:bottom w:val="single" w:color="auto" w:sz="4" w:space="0"/>
              <w:right w:val="single" w:color="000000" w:sz="4" w:space="0"/>
            </w:tcBorders>
            <w:shd w:val="clear" w:color="auto" w:fill="auto"/>
            <w:noWrap/>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 xml:space="preserve">          其他资金</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bookmarkStart w:id="0" w:name="_GoBack"/>
            <w:bookmarkEnd w:id="0"/>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　</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w:t>
            </w:r>
          </w:p>
        </w:tc>
      </w:tr>
      <w:tr>
        <w:tblPrEx>
          <w:tblCellMar>
            <w:top w:w="0" w:type="dxa"/>
            <w:left w:w="108" w:type="dxa"/>
            <w:bottom w:w="0" w:type="dxa"/>
            <w:right w:w="108" w:type="dxa"/>
          </w:tblCellMar>
        </w:tblPrEx>
        <w:trPr>
          <w:trHeight w:val="340" w:hRule="atLeast"/>
        </w:trPr>
        <w:tc>
          <w:tcPr>
            <w:tcW w:w="0" w:type="auto"/>
            <w:vMerge w:val="restart"/>
            <w:tcBorders>
              <w:top w:val="nil"/>
              <w:left w:val="single" w:color="auto" w:sz="4" w:space="0"/>
              <w:bottom w:val="single" w:color="000000" w:sz="4" w:space="0"/>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年度总体目标</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预期目标</w:t>
            </w:r>
          </w:p>
        </w:tc>
        <w:tc>
          <w:tcPr>
            <w:tcW w:w="0" w:type="auto"/>
            <w:gridSpan w:val="5"/>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实际完成情况</w:t>
            </w:r>
          </w:p>
        </w:tc>
      </w:tr>
      <w:tr>
        <w:tblPrEx>
          <w:tblCellMar>
            <w:top w:w="0" w:type="dxa"/>
            <w:left w:w="108" w:type="dxa"/>
            <w:bottom w:w="0" w:type="dxa"/>
            <w:right w:w="108" w:type="dxa"/>
          </w:tblCellMar>
        </w:tblPrEx>
        <w:trPr>
          <w:trHeight w:val="1300" w:hRule="atLeast"/>
        </w:trPr>
        <w:tc>
          <w:tcPr>
            <w:tcW w:w="0" w:type="auto"/>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2"/>
              </w:rPr>
            </w:pP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2"/>
              </w:rPr>
            </w:pPr>
            <w:r>
              <w:rPr>
                <w:rFonts w:hint="eastAsia" w:ascii="宋体" w:hAnsi="宋体" w:eastAsia="宋体" w:cs="宋体"/>
                <w:color w:val="000000"/>
                <w:kern w:val="0"/>
                <w:sz w:val="22"/>
              </w:rPr>
              <w:t>2021年年度目标：完成一期4545个窗户项目配套。包括基础楼（385个），2、理学院（204个），3、人文楼（284个），4、学一食堂 （51个），5、第三教学组团（745个），6、科研与实验楼（494个），7、综办公楼（471个），9、宿舍B组团（1029个），10、宿舍C组团（882个），共计4545个窗。</w:t>
            </w:r>
          </w:p>
        </w:tc>
        <w:tc>
          <w:tcPr>
            <w:tcW w:w="0" w:type="auto"/>
            <w:gridSpan w:val="5"/>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完成一期4545个窗户项目配套。包括基础楼（385个），2、理学院（204个），3、人文楼（284个），4、学一食堂 （51个），5、第三教学组团（745个），6、科研与实验楼（494个），7、综办公楼（471个），9、宿舍B组团（1029个），10、宿舍C组团（882个），共计4545个窗。</w:t>
            </w:r>
          </w:p>
        </w:tc>
      </w:tr>
      <w:tr>
        <w:tblPrEx>
          <w:tblCellMar>
            <w:top w:w="0" w:type="dxa"/>
            <w:left w:w="108" w:type="dxa"/>
            <w:bottom w:w="0" w:type="dxa"/>
            <w:right w:w="108" w:type="dxa"/>
          </w:tblCellMar>
        </w:tblPrEx>
        <w:trPr>
          <w:trHeight w:val="480" w:hRule="atLeast"/>
        </w:trPr>
        <w:tc>
          <w:tcPr>
            <w:tcW w:w="0" w:type="auto"/>
            <w:vMerge w:val="restart"/>
            <w:tcBorders>
              <w:top w:val="nil"/>
              <w:left w:val="single" w:color="auto" w:sz="4" w:space="0"/>
              <w:bottom w:val="nil"/>
              <w:right w:val="single" w:color="auto" w:sz="4" w:space="0"/>
            </w:tcBorders>
            <w:shd w:val="clear" w:color="auto" w:fill="auto"/>
            <w:noWrap/>
            <w:textDirection w:val="tbRlV"/>
            <w:vAlign w:val="center"/>
          </w:tcPr>
          <w:p>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绩效指标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实际完成值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偏差原因分析及改进</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措施</w:t>
            </w:r>
          </w:p>
        </w:tc>
      </w:tr>
      <w:tr>
        <w:tblPrEx>
          <w:tblCellMar>
            <w:top w:w="0" w:type="dxa"/>
            <w:left w:w="108" w:type="dxa"/>
            <w:bottom w:w="0" w:type="dxa"/>
            <w:right w:w="108" w:type="dxa"/>
          </w:tblCellMar>
        </w:tblPrEx>
        <w:trPr>
          <w:trHeight w:val="181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（50分）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完成一期4545个窗户项目配套</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1、基础楼（385个），2、理学院（204个），3、人文楼（284个），4、学一食堂 （51个），5、第三教学组团（745个），6、科研与实验楼（494个），7、综办公楼（471个），8、宿舍B组团（1029个），8、宿舍C组团（882个）。共计4545个窗户。</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1、基础楼（385个），2、理学院（204个），3、人文楼（284个），4、学一食堂 （51个），5、第三教学组团（745个），6、科研与实验楼（494个），7、综办公楼（471个），8、宿舍B组团（1029个），8、宿舍C组团（882个）。共计4545个窗户。</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r>
      <w:tr>
        <w:tblPrEx>
          <w:tblCellMar>
            <w:top w:w="0" w:type="dxa"/>
            <w:left w:w="108" w:type="dxa"/>
            <w:bottom w:w="0" w:type="dxa"/>
            <w:right w:w="108" w:type="dxa"/>
          </w:tblCellMar>
        </w:tblPrEx>
        <w:trPr>
          <w:trHeight w:val="687"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single" w:color="auto" w:sz="4" w:space="0"/>
              <w:left w:val="nil"/>
              <w:bottom w:val="nil"/>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建设质量指标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满足实用性、可靠性、稳定性、经济性、耐用性</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均达到质量指标要求</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时效指标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进行公开招标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2021年3月完成；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2021年3月</w:t>
            </w:r>
          </w:p>
        </w:tc>
        <w:tc>
          <w:tcPr>
            <w:tcW w:w="0" w:type="auto"/>
            <w:tcBorders>
              <w:top w:val="nil"/>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完成项目购置</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2021年5月完成；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2021年5月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完成项目安装调试</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2021年7月完成；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2021年7月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5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系统试运行并投入使用</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2021年8月底完成</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ascii="Times New Roman" w:hAnsi="Times New Roman" w:eastAsia="宋体" w:cs="Times New Roman"/>
                <w:color w:val="000000"/>
                <w:kern w:val="0"/>
                <w:sz w:val="20"/>
                <w:szCs w:val="20"/>
              </w:rPr>
              <w:t>2021年8月</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2.5</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ascii="宋体" w:hAnsi="宋体" w:eastAsia="宋体" w:cs="宋体"/>
                <w:color w:val="000000"/>
                <w:kern w:val="0"/>
                <w:sz w:val="20"/>
                <w:szCs w:val="20"/>
              </w:rPr>
              <w:t>2.5</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47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成本指标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690.377530万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588.0015万</w:t>
            </w:r>
          </w:p>
        </w:tc>
        <w:tc>
          <w:tcPr>
            <w:tcW w:w="0" w:type="auto"/>
            <w:tcBorders>
              <w:top w:val="single" w:color="auto" w:sz="4" w:space="0"/>
              <w:left w:val="nil"/>
              <w:bottom w:val="nil"/>
              <w:right w:val="nil"/>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8</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r>
              <w:rPr>
                <w:rFonts w:hint="eastAsia" w:ascii="宋体" w:hAnsi="宋体" w:eastAsia="宋体"/>
                <w:color w:val="000000"/>
                <w:sz w:val="20"/>
                <w:szCs w:val="20"/>
              </w:rPr>
              <w:t>已按调整金额执行</w:t>
            </w:r>
          </w:p>
        </w:tc>
      </w:tr>
      <w:tr>
        <w:tblPrEx>
          <w:tblCellMar>
            <w:top w:w="0" w:type="dxa"/>
            <w:left w:w="108" w:type="dxa"/>
            <w:bottom w:w="0" w:type="dxa"/>
            <w:right w:w="108" w:type="dxa"/>
          </w:tblCellMar>
        </w:tblPrEx>
        <w:trPr>
          <w:trHeight w:val="383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restart"/>
            <w:tcBorders>
              <w:top w:val="nil"/>
              <w:left w:val="single" w:color="auto" w:sz="4" w:space="0"/>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（30分）</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经济效益指标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xml:space="preserve">（1）提高全校师生办公、学习效率，改善全校师生的办公、学习、生活环境 </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通过此项目的实施，完善我校的会议室、办公室、宿舍等的配套设施，建设一批师生满意的办公室、会议、学习、就餐、休息的新校区环境，所选窗帘的品质和种类都是经过后勤相关老师及领导调研半年以上兄弟院校及考察多家布艺厂家所定制的极具特色的适合新校区新形象的配置方案和选型，保障全校师生的基本生活和学校、办公环境，提高师生效率，培养更多的高素质人才起到促进作用。有效证明，舒适的环境可以使人愉悦，提高效率。</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（2）有效避免重复建设，节约建设资金</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我校对窗帘的品牌、质量进行充分考虑，所选窗帘能够长时间使用，一次建设多年不需要更换采购，并做十年窗帘质保要求，可为避免重复建设，节约有限的建设经费。</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 xml:space="preserve">（1）提高全校师生办公、学习效率，改善全校师生的办公、学习、生活环境 </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通过此项目的实施，完善我校的会议室、办公室、宿舍等的配套设施，建设一批师生满意的办公室、会议、学习、就餐、休息的新校区环境，所选窗帘的品质和种类都是经过后勤相关老师及领导调研半年以上兄弟院校及考察多家布艺厂家所定制的极具特色的适合新校区新形象的配置方案和选型，保障全校师生的基本生活和学校、办公环境，提高师生效率，培养更多的高素质人才起到促进作用。有效证明，舒适的环境可以使人愉悦，提高效率。</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（2）有效避免重复建设，节约建设资金</w:t>
            </w:r>
            <w:r>
              <w:rPr>
                <w:rFonts w:hint="eastAsia" w:ascii="宋体" w:hAnsi="宋体" w:eastAsia="宋体" w:cs="宋体"/>
                <w:color w:val="000000"/>
                <w:kern w:val="0"/>
                <w:sz w:val="16"/>
                <w:szCs w:val="16"/>
              </w:rPr>
              <w:br w:type="textWrapping"/>
            </w:r>
            <w:r>
              <w:rPr>
                <w:rFonts w:hint="eastAsia" w:ascii="宋体" w:hAnsi="宋体" w:eastAsia="宋体" w:cs="宋体"/>
                <w:color w:val="000000"/>
                <w:kern w:val="0"/>
                <w:sz w:val="16"/>
                <w:szCs w:val="16"/>
              </w:rPr>
              <w:t>我校对窗帘的品牌、质量进行充分考虑，所选窗帘能够长时间使用，一次建设多年不需要更换采购，并做十年窗帘质保要求，可为避免重复建设，节约有限的建设经费。</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260"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通过提高我校对相关建筑窗户窗帘的配套的建设，</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为全校师生服务，提升全校师生的办公、学习效率，解决师生的基础环境条件，使教职工</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为我校培养更多高质量人才。向社会输出更多有用的人才。</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通过提高我校对相关建筑窗户窗帘的配套的建设，</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为全校师生服务，提升全校师生的办公、学习效率，解决师生的基础环境条件，使教职工</w:t>
            </w:r>
            <w:r>
              <w:rPr>
                <w:rFonts w:hint="eastAsia" w:ascii="宋体" w:hAnsi="宋体" w:eastAsia="宋体" w:cs="宋体"/>
                <w:color w:val="000000"/>
                <w:kern w:val="0"/>
                <w:sz w:val="16"/>
                <w:szCs w:val="16"/>
                <w:lang w:eastAsia="zh-CN"/>
              </w:rPr>
              <w:t>能够更好地</w:t>
            </w:r>
            <w:r>
              <w:rPr>
                <w:rFonts w:hint="eastAsia" w:ascii="宋体" w:hAnsi="宋体" w:eastAsia="宋体" w:cs="宋体"/>
                <w:color w:val="000000"/>
                <w:kern w:val="0"/>
                <w:sz w:val="16"/>
                <w:szCs w:val="16"/>
              </w:rPr>
              <w:t>为我校培养更多高质量人才。向社会输出更多有用的人才。</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6</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基本完成效益指标</w:t>
            </w:r>
            <w:r>
              <w:rPr>
                <w:rFonts w:hint="eastAsia" w:ascii="宋体" w:hAnsi="宋体" w:eastAsia="宋体" w:cs="宋体"/>
                <w:color w:val="000000"/>
                <w:kern w:val="0"/>
                <w:sz w:val="20"/>
                <w:szCs w:val="20"/>
              </w:rPr>
              <w:t>，效益发挥有待更进一步提升</w:t>
            </w:r>
          </w:p>
        </w:tc>
      </w:tr>
      <w:tr>
        <w:tblPrEx>
          <w:tblCellMar>
            <w:top w:w="0" w:type="dxa"/>
            <w:left w:w="108" w:type="dxa"/>
            <w:bottom w:w="0" w:type="dxa"/>
            <w:right w:w="108" w:type="dxa"/>
          </w:tblCellMar>
        </w:tblPrEx>
        <w:trPr>
          <w:trHeight w:val="105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生态效益指标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环保效益指标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节能减排。本次购置窗帘都采用了节能技术和环保设计，不含有害有毒物质。有证据表明，良好的环境能使人愉悦，在愉悦的心情里工作，学习都会事半功倍。创造更大的价值。</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节能减排。本次购置窗帘都采用了节能技术和环保设计，不含有害有毒物质。有证据表明，良好的环境能使人愉悦，在愉悦的心情里工作，学习都会事半功倍。创造更大的价值。</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35"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0"/>
                <w:szCs w:val="20"/>
              </w:rPr>
            </w:pP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0" w:type="auto"/>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可持续影响指标、设备使用率</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本项目建成后的使用寿命≥10年以上，窗帘可长期使用，可持续为全校师生服务。为全校师生提供舒适的学习、生活、办公、就餐的环境，使用率全天24小时，全年365天。使用率≥99%</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本项目建成后的使用寿命≥10年以上，窗帘可长期使用，可持续为全校师生服务。为全校师生提供舒适的学习、生活、办公、就餐的环境，使用率全天24小时，全年365天。使用率≥99%</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7.5</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r>
      <w:tr>
        <w:tblPrEx>
          <w:tblCellMar>
            <w:top w:w="0" w:type="dxa"/>
            <w:left w:w="108" w:type="dxa"/>
            <w:bottom w:w="0" w:type="dxa"/>
            <w:right w:w="108" w:type="dxa"/>
          </w:tblCellMar>
        </w:tblPrEx>
        <w:trPr>
          <w:trHeight w:val="1104" w:hRule="atLeast"/>
        </w:trPr>
        <w:tc>
          <w:tcPr>
            <w:tcW w:w="0" w:type="auto"/>
            <w:vMerge w:val="continue"/>
            <w:tcBorders>
              <w:top w:val="nil"/>
              <w:left w:val="single" w:color="auto" w:sz="4" w:space="0"/>
              <w:bottom w:val="nil"/>
              <w:right w:val="single" w:color="auto" w:sz="4" w:space="0"/>
            </w:tcBorders>
            <w:vAlign w:val="center"/>
          </w:tcPr>
          <w:p>
            <w:pPr>
              <w:widowControl/>
              <w:jc w:val="left"/>
              <w:rPr>
                <w:rFonts w:ascii="宋体" w:hAnsi="宋体" w:eastAsia="宋体" w:cs="宋体"/>
                <w:color w:val="000000"/>
                <w:kern w:val="0"/>
                <w:sz w:val="22"/>
              </w:rPr>
            </w:pPr>
          </w:p>
        </w:tc>
        <w:tc>
          <w:tcPr>
            <w:tcW w:w="0" w:type="auto"/>
            <w:tcBorders>
              <w:top w:val="single" w:color="auto" w:sz="4" w:space="0"/>
              <w:left w:val="nil"/>
              <w:bottom w:val="nil"/>
              <w:right w:val="single" w:color="auto" w:sz="4" w:space="0"/>
            </w:tcBorders>
            <w:shd w:val="clear" w:color="auto" w:fill="auto"/>
            <w:textDirection w:val="tbRlV"/>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满意度指标（10分）</w:t>
            </w:r>
          </w:p>
        </w:tc>
        <w:tc>
          <w:tcPr>
            <w:tcW w:w="0" w:type="auto"/>
            <w:tcBorders>
              <w:top w:val="nil"/>
              <w:left w:val="nil"/>
              <w:bottom w:val="nil"/>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0" w:type="auto"/>
            <w:tcBorders>
              <w:top w:val="nil"/>
              <w:left w:val="nil"/>
              <w:bottom w:val="nil"/>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质量及样式满意度</w:t>
            </w:r>
          </w:p>
        </w:tc>
        <w:tc>
          <w:tcPr>
            <w:tcW w:w="0" w:type="auto"/>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6"/>
                <w:szCs w:val="16"/>
              </w:rPr>
            </w:pPr>
            <w:r>
              <w:rPr>
                <w:rFonts w:hint="eastAsia" w:ascii="宋体" w:hAnsi="宋体" w:eastAsia="宋体" w:cs="宋体"/>
                <w:color w:val="000000"/>
                <w:kern w:val="0"/>
                <w:sz w:val="16"/>
                <w:szCs w:val="16"/>
              </w:rPr>
              <w:t>此项目的建设可得到全校师生的充分认可，绿色环保窗帘，温馨安全的教学、办公、学习、实验、休息、就餐的环境保障，将受到广大师生的欢迎，服务群体满意度预期：≥90%。</w:t>
            </w:r>
          </w:p>
        </w:tc>
        <w:tc>
          <w:tcPr>
            <w:tcW w:w="0" w:type="auto"/>
            <w:tcBorders>
              <w:top w:val="nil"/>
              <w:left w:val="nil"/>
              <w:bottom w:val="single" w:color="auto" w:sz="4" w:space="0"/>
              <w:right w:val="single" w:color="auto" w:sz="4" w:space="0"/>
            </w:tcBorders>
            <w:shd w:val="clear" w:color="000000" w:fill="FFFFFF"/>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98%</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9</w:t>
            </w:r>
          </w:p>
        </w:tc>
        <w:tc>
          <w:tcPr>
            <w:tcW w:w="0" w:type="auto"/>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olor w:val="000000"/>
                <w:sz w:val="20"/>
                <w:szCs w:val="20"/>
              </w:rPr>
              <w:t>基本完成满意度指标</w:t>
            </w:r>
            <w:r>
              <w:rPr>
                <w:rFonts w:hint="eastAsia" w:ascii="宋体" w:hAnsi="宋体" w:eastAsia="宋体" w:cs="宋体"/>
                <w:color w:val="000000"/>
                <w:kern w:val="0"/>
                <w:sz w:val="20"/>
                <w:szCs w:val="20"/>
              </w:rPr>
              <w:t>，但满意度调查资料有待进一步完善　</w:t>
            </w:r>
          </w:p>
        </w:tc>
      </w:tr>
      <w:tr>
        <w:tblPrEx>
          <w:tblCellMar>
            <w:top w:w="0" w:type="dxa"/>
            <w:left w:w="108" w:type="dxa"/>
            <w:bottom w:w="0" w:type="dxa"/>
            <w:right w:w="108" w:type="dxa"/>
          </w:tblCellMar>
        </w:tblPrEx>
        <w:trPr>
          <w:trHeight w:val="480" w:hRule="atLeast"/>
        </w:trPr>
        <w:tc>
          <w:tcPr>
            <w:tcW w:w="0" w:type="auto"/>
            <w:gridSpan w:val="6"/>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总分</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100</w:t>
            </w:r>
          </w:p>
        </w:tc>
        <w:tc>
          <w:tcPr>
            <w:tcW w:w="0" w:type="auto"/>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9</w:t>
            </w:r>
            <w:r>
              <w:rPr>
                <w:rFonts w:ascii="宋体" w:hAnsi="宋体" w:eastAsia="宋体" w:cs="宋体"/>
                <w:b/>
                <w:bCs/>
                <w:color w:val="000000"/>
                <w:kern w:val="0"/>
                <w:sz w:val="22"/>
              </w:rPr>
              <w:t>4</w:t>
            </w:r>
            <w:r>
              <w:rPr>
                <w:rFonts w:hint="eastAsia" w:ascii="宋体" w:hAnsi="宋体" w:eastAsia="宋体" w:cs="宋体"/>
                <w:b/>
                <w:bCs/>
                <w:color w:val="000000"/>
                <w:kern w:val="0"/>
                <w:sz w:val="22"/>
              </w:rPr>
              <w:t>.</w:t>
            </w:r>
            <w:r>
              <w:rPr>
                <w:rFonts w:ascii="宋体" w:hAnsi="宋体" w:eastAsia="宋体" w:cs="宋体"/>
                <w:b/>
                <w:bCs/>
                <w:color w:val="000000"/>
                <w:kern w:val="0"/>
                <w:sz w:val="22"/>
              </w:rPr>
              <w:t>0</w:t>
            </w:r>
            <w:r>
              <w:rPr>
                <w:rFonts w:hint="eastAsia" w:ascii="宋体" w:hAnsi="宋体" w:eastAsia="宋体" w:cs="宋体"/>
                <w:b/>
                <w:bCs/>
                <w:color w:val="000000"/>
                <w:kern w:val="0"/>
                <w:sz w:val="22"/>
              </w:rPr>
              <w:t xml:space="preserve">0 </w:t>
            </w:r>
          </w:p>
        </w:tc>
        <w:tc>
          <w:tcPr>
            <w:tcW w:w="0" w:type="auto"/>
            <w:gridSpan w:val="3"/>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宋体" w:hAnsi="宋体" w:eastAsia="宋体" w:cs="宋体"/>
                <w:b/>
                <w:bCs/>
                <w:color w:val="000000"/>
                <w:kern w:val="0"/>
                <w:sz w:val="22"/>
              </w:rPr>
            </w:pPr>
            <w:r>
              <w:rPr>
                <w:rFonts w:hint="eastAsia" w:ascii="宋体" w:hAnsi="宋体" w:eastAsia="宋体" w:cs="宋体"/>
                <w:b/>
                <w:bCs/>
                <w:color w:val="000000"/>
                <w:kern w:val="0"/>
                <w:sz w:val="22"/>
              </w:rPr>
              <w:t>　</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IyYTFhY2FhY2RjN2E2ZjE5YjM5MTEwYTMzNTI3ZmUifQ=="/>
  </w:docVars>
  <w:rsids>
    <w:rsidRoot w:val="003533F2"/>
    <w:rsid w:val="000154F6"/>
    <w:rsid w:val="0002280E"/>
    <w:rsid w:val="001229D6"/>
    <w:rsid w:val="003533F2"/>
    <w:rsid w:val="00357776"/>
    <w:rsid w:val="004338FA"/>
    <w:rsid w:val="00442A3B"/>
    <w:rsid w:val="0046097F"/>
    <w:rsid w:val="0051107B"/>
    <w:rsid w:val="00762F94"/>
    <w:rsid w:val="008C3434"/>
    <w:rsid w:val="00976343"/>
    <w:rsid w:val="009D25C9"/>
    <w:rsid w:val="00B052AE"/>
    <w:rsid w:val="00D24098"/>
    <w:rsid w:val="00D50ADD"/>
    <w:rsid w:val="00E22FAE"/>
    <w:rsid w:val="00E45DBF"/>
    <w:rsid w:val="00E94DB2"/>
    <w:rsid w:val="00F70400"/>
    <w:rsid w:val="58930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autoRedefine/>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418</Words>
  <Characters>2388</Characters>
  <Lines>19</Lines>
  <Paragraphs>5</Paragraphs>
  <TotalTime>15</TotalTime>
  <ScaleCrop>false</ScaleCrop>
  <LinksUpToDate>false</LinksUpToDate>
  <CharactersWithSpaces>2801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2021-05-21T04:35:00Z</dcterms:created>
  <dc:creator>雪</dc:creator>
  <cp:lastModifiedBy>苏坡云☁️</cp:lastModifiedBy>
  <dcterms:modified xsi:type="dcterms:W3CDTF">2024-03-04T08:10:53Z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260B90F401D64765BB40BA15412DFB4C_12</vt:lpwstr>
  </property>
</Properties>
</file>