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center"/>
        <w:textAlignment w:val="auto"/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</w:rPr>
      </w:pP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</w:rPr>
        <w:t>第十</w:t>
      </w: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  <w:lang w:eastAsia="zh-CN"/>
        </w:rPr>
        <w:t>六</w:t>
      </w: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</w:rPr>
        <w:t>届北京市大学生英语演讲</w:t>
      </w: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  <w:lang w:eastAsia="zh-CN"/>
        </w:rPr>
        <w:t>竞</w:t>
      </w: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</w:rPr>
        <w:t>赛</w:t>
      </w: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  <w:lang w:eastAsia="zh-CN"/>
        </w:rPr>
        <w:t>拟</w:t>
      </w: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</w:rPr>
        <w:t>获奖及指导教师名单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center"/>
        <w:textAlignment w:val="auto"/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宋体" w:cs="宋体"/>
          <w:b/>
          <w:bCs/>
          <w:color w:val="666666"/>
          <w:kern w:val="0"/>
          <w:sz w:val="28"/>
          <w:szCs w:val="28"/>
          <w:lang w:eastAsia="zh-CN"/>
        </w:rPr>
        <w:t>（继续教育组）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Y="167"/>
        <w:tblOverlap w:val="never"/>
        <w:tblW w:w="8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71"/>
        <w:gridCol w:w="2989"/>
        <w:gridCol w:w="11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继续教育-本科组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优秀指导教师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刘立洋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北京语言大学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特等奖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孙亚鹏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北京外国语大学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胡增宁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骆茵驰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国家开放大学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赵莹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许青云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中央财经大学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陈伯雨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冯彦彬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北京师范大学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王筱晶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陆洋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北京联合大学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田雅琳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刘亚南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北京市东城区职工业余大学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李秀霞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赵芊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北京理工大学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周喆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雷晓生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北京化工大学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刘增强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徐小峰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中央民族大学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谭丽丽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冯均怡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北京市西城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经济科学大学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三等奖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贾相梅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刘爱霞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北京市朝阳区职工大学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三等奖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马牧野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对外经济贸易大学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三等奖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付印玺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武美灵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北京林业大学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三等奖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颜贤斌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刘鑫月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北京开放大学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三等奖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武丽娜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继续教育-专科组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优秀指导教师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田昕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北京青年政治学院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特等奖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崔丽华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刘梓桢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北京市东城区职工业余大学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巩玉环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刘清庆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中央民族大学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秦彬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北京市西城区经济科学大学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贾相梅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李霁虹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北京市朝阳区职工大学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黄丹恒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　栾晨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首都联合职工大学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三等奖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杨海川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北京开放大学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三等奖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赵春荣</w:t>
            </w:r>
          </w:p>
        </w:tc>
      </w:tr>
    </w:tbl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highlight w:val="none"/>
          <w:lang w:bidi="ar"/>
        </w:rPr>
        <w:t>继续教育组优秀组织奖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1.北京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语言大学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2.北京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外国语大学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国家开放大学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中央财经大学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北京师范大学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6.北京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联合大学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北京市东城区职工业余大学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北京理工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9.北京化工大学　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10.中央民族大学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11.北京青年政治学院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12.北京市西城区经济科学大学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13.北京市朝阳区职工大学</w:t>
      </w: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highlight w:val="none"/>
          <w:lang w:bidi="ar"/>
        </w:r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highlight w:val="none"/>
          <w:lang w:bidi="ar"/>
        </w:rPr>
      </w:pPr>
    </w:p>
    <w:p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highlight w:val="none"/>
          <w:lang w:bidi="ar"/>
        </w:rPr>
        <w:t>继续教育组组织奖</w:t>
      </w:r>
    </w:p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 w:bidi="ar"/>
        </w:rPr>
        <w:t>1.对外经济贸易大学</w:t>
      </w:r>
    </w:p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北京林业大学</w:t>
      </w:r>
    </w:p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北京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 w:bidi="ar"/>
        </w:rPr>
        <w:t>开放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>大学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bidi="ar"/>
        </w:rPr>
        <w:t xml:space="preserve">首都联合职工大学          </w:t>
      </w:r>
    </w:p>
    <w:p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highlight w:val="yellow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3086A42"/>
    <w:rsid w:val="04335DA6"/>
    <w:rsid w:val="04646789"/>
    <w:rsid w:val="05143AD3"/>
    <w:rsid w:val="08F71A98"/>
    <w:rsid w:val="0EDB1514"/>
    <w:rsid w:val="107A6073"/>
    <w:rsid w:val="15033CB9"/>
    <w:rsid w:val="18F103C6"/>
    <w:rsid w:val="19C84D8B"/>
    <w:rsid w:val="1FF86768"/>
    <w:rsid w:val="27B34984"/>
    <w:rsid w:val="2BFB4B4C"/>
    <w:rsid w:val="2C215ECB"/>
    <w:rsid w:val="33A35D4A"/>
    <w:rsid w:val="348A41FF"/>
    <w:rsid w:val="3C333E8E"/>
    <w:rsid w:val="40253F07"/>
    <w:rsid w:val="42987676"/>
    <w:rsid w:val="462907DC"/>
    <w:rsid w:val="4DFE60AA"/>
    <w:rsid w:val="510556D0"/>
    <w:rsid w:val="56592E41"/>
    <w:rsid w:val="5A3807D0"/>
    <w:rsid w:val="5C1B3DAC"/>
    <w:rsid w:val="602F0A82"/>
    <w:rsid w:val="63A92B04"/>
    <w:rsid w:val="63BC1A00"/>
    <w:rsid w:val="64A1052D"/>
    <w:rsid w:val="659E6530"/>
    <w:rsid w:val="6B43341D"/>
    <w:rsid w:val="6BE71AB3"/>
    <w:rsid w:val="6F990E00"/>
    <w:rsid w:val="6FBD6594"/>
    <w:rsid w:val="72290FFB"/>
    <w:rsid w:val="75270723"/>
    <w:rsid w:val="75C77E55"/>
    <w:rsid w:val="796C2DDF"/>
    <w:rsid w:val="7D561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649</Characters>
  <Lines>9</Lines>
  <Paragraphs>2</Paragraphs>
  <TotalTime>0</TotalTime>
  <ScaleCrop>false</ScaleCrop>
  <LinksUpToDate>false</LinksUpToDate>
  <CharactersWithSpaces>662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2024-04-30T16:57:00Z</dcterms:created>
  <dc:creator>leecz</dc:creator>
  <cp:lastModifiedBy>uos</cp:lastModifiedBy>
  <dcterms:modified xsi:type="dcterms:W3CDTF">2025-12-15T15:31:24Z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75B710C2C39C452C9E299D37B73DB25C_13</vt:lpwstr>
  </property>
  <property fmtid="{D5CDD505-2E9C-101B-9397-08002B2CF9AE}" pid="3" name="KSOProductBuildVer">
    <vt:lpwstr>2052-11.8.2.1122</vt:lpwstr>
  </property>
  <property fmtid="{D5CDD505-2E9C-101B-9397-08002B2CF9AE}" pid="4" name="KSOTemplateDocerSaveRecord">
    <vt:lpwstr>eyJoZGlkIjoiNTQ3NjQzYTQyZGE3ZGVkNGFjYjk0MWE2MWRhOWZhOTUiLCJ1c2VySWQiOiI2NDI4MDIxMTYifQ==</vt:lpwstr>
  </property>
</Properties>
</file>