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ind w:firstLine="0" w:firstLineChars="0"/>
        <w:contextualSpacing/>
        <w:rPr>
          <w:rFonts w:hint="eastAsia" w:ascii="Times New Roman" w:hAnsi="Times New Roman" w:eastAsia="黑体"/>
          <w:b w:val="0"/>
          <w:bCs w:val="0"/>
        </w:rPr>
      </w:pPr>
      <w:r>
        <w:rPr>
          <w:rFonts w:ascii="Times New Roman" w:hAnsi="Times New Roman" w:eastAsia="黑体"/>
          <w:b w:val="0"/>
          <w:bCs w:val="0"/>
        </w:rPr>
        <w:t>附</w:t>
      </w:r>
      <w:r>
        <w:rPr>
          <w:rFonts w:hint="eastAsia" w:ascii="Times New Roman" w:hAnsi="Times New Roman" w:eastAsia="黑体"/>
          <w:b w:val="0"/>
          <w:bCs w:val="0"/>
        </w:rPr>
        <w:t>件2</w:t>
      </w:r>
      <w:bookmarkStart w:id="0" w:name="_GoBack"/>
      <w:bookmarkEnd w:id="0"/>
    </w:p>
    <w:p>
      <w:pPr>
        <w:ind w:firstLine="640"/>
        <w:contextualSpacing/>
      </w:pPr>
    </w:p>
    <w:p>
      <w:pPr>
        <w:ind w:firstLine="0" w:firstLineChars="0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北京市艺术类中等职业学校办学条件达标主要监测指标标准</w:t>
      </w:r>
    </w:p>
    <w:p>
      <w:pPr>
        <w:pStyle w:val="3"/>
        <w:spacing w:after="0"/>
        <w:ind w:firstLine="640"/>
        <w:contextualSpacing/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75"/>
        <w:gridCol w:w="1625"/>
        <w:gridCol w:w="1556"/>
        <w:gridCol w:w="1971"/>
        <w:gridCol w:w="1361"/>
        <w:gridCol w:w="707"/>
        <w:gridCol w:w="1543"/>
        <w:gridCol w:w="1693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textAlignment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省级教育行政部门（盖章）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标准</w:t>
            </w:r>
          </w:p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校园占地面积（平方米）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生均用地面积（平方米）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校舍建筑面积</w:t>
            </w:r>
          </w:p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生均校舍建筑面积（平方米）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专任教师数（人）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生师比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仪器设备总值（万元）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生均仪器设备值（元）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生均图书（册）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北京市标准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15000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15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13000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30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20:1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300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2500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contextualSpacing/>
              <w:jc w:val="center"/>
              <w:textAlignment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30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42630B6F"/>
    <w:rsid w:val="426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苏坡云☁️</dc:creator>
  <cp:lastModifiedBy>苏坡云☁️</cp:lastModifiedBy>
  <dcterms:modified xsi:type="dcterms:W3CDTF">2023-06-07T01:41:20Z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4155F4E603E24173A2BAA88FC5105DC1_11</vt:lpwstr>
  </property>
</Properties>
</file>