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32"/>
          <w:szCs w:val="32"/>
        </w:rPr>
      </w:pPr>
      <w:r>
        <w:rPr>
          <w:rFonts w:hint="eastAsia" w:ascii="仿宋_GB2312" w:eastAsia="仿宋_GB2312"/>
          <w:b/>
          <w:sz w:val="32"/>
          <w:szCs w:val="32"/>
        </w:rPr>
        <w:t>北京市教育委员会2012年度部门决算说明</w:t>
      </w:r>
    </w:p>
    <w:p>
      <w:pPr>
        <w:rPr>
          <w:rFonts w:hint="eastAsia" w:ascii="仿宋_GB2312" w:eastAsia="仿宋_GB2312"/>
          <w:sz w:val="32"/>
          <w:szCs w:val="32"/>
        </w:rPr>
      </w:pPr>
    </w:p>
    <w:p>
      <w:pPr>
        <w:ind w:firstLine="630" w:firstLineChars="196"/>
        <w:rPr>
          <w:rFonts w:hint="eastAsia" w:ascii="仿宋_GB2312" w:eastAsia="仿宋_GB2312"/>
          <w:b/>
          <w:sz w:val="32"/>
          <w:szCs w:val="32"/>
        </w:rPr>
      </w:pPr>
      <w:r>
        <w:rPr>
          <w:rFonts w:hint="eastAsia" w:ascii="仿宋_GB2312" w:eastAsia="仿宋_GB2312"/>
          <w:b/>
          <w:sz w:val="32"/>
          <w:szCs w:val="32"/>
        </w:rPr>
        <w:t>一、部门基本情况</w:t>
      </w:r>
    </w:p>
    <w:p>
      <w:pPr>
        <w:ind w:firstLine="640" w:firstLineChars="200"/>
        <w:rPr>
          <w:rFonts w:hint="eastAsia" w:ascii="仿宋_GB2312" w:eastAsia="仿宋_GB2312"/>
          <w:sz w:val="32"/>
          <w:szCs w:val="32"/>
        </w:rPr>
      </w:pPr>
      <w:r>
        <w:rPr>
          <w:rFonts w:hint="eastAsia" w:ascii="仿宋_GB2312" w:eastAsia="仿宋_GB2312"/>
          <w:sz w:val="32"/>
          <w:szCs w:val="32"/>
        </w:rPr>
        <w:t>2012年决算中包含市教委及所属单位机构60个，其中行政单位1个（市教委本级），事业单位59个（全额拨款事业单位56个、差额拨款事业单位3个）。事业单位包括：首都师范大学等24所市属高等院校，北京铁路电气化学校等12所中等专业学校，北京教育科学研究院等23个直属单位。</w:t>
      </w:r>
    </w:p>
    <w:p>
      <w:pPr>
        <w:ind w:firstLine="803" w:firstLineChars="250"/>
        <w:rPr>
          <w:rFonts w:hint="eastAsia" w:ascii="仿宋_GB2312" w:eastAsia="仿宋_GB2312"/>
          <w:b/>
          <w:sz w:val="32"/>
          <w:szCs w:val="32"/>
        </w:rPr>
      </w:pPr>
      <w:r>
        <w:rPr>
          <w:rFonts w:hint="eastAsia" w:ascii="仿宋_GB2312" w:eastAsia="仿宋_GB2312"/>
          <w:b/>
          <w:sz w:val="32"/>
          <w:szCs w:val="32"/>
        </w:rPr>
        <w:t>部门职责：</w:t>
      </w:r>
    </w:p>
    <w:p>
      <w:pPr>
        <w:ind w:firstLine="640" w:firstLineChars="200"/>
        <w:rPr>
          <w:rFonts w:hint="eastAsia" w:ascii="仿宋_GB2312" w:eastAsia="仿宋_GB2312"/>
          <w:sz w:val="32"/>
          <w:szCs w:val="32"/>
        </w:rPr>
      </w:pPr>
      <w:r>
        <w:rPr>
          <w:rFonts w:hint="eastAsia" w:ascii="仿宋_GB2312" w:eastAsia="仿宋_GB2312"/>
          <w:sz w:val="32"/>
          <w:szCs w:val="32"/>
        </w:rPr>
        <w:t>（一）贯彻落实国家关于教育的法律、法规、规章，推进依法治教，起草本市教育方面的地方性法规草案、规章草案，研究拟订教育改革与发展的政策，并监督实施；组织编制教育事业发展规划，会同有关部门编制教育设施专项规划，并组织实施。</w:t>
      </w:r>
    </w:p>
    <w:p>
      <w:pPr>
        <w:ind w:firstLine="640" w:firstLineChars="200"/>
        <w:rPr>
          <w:rFonts w:hint="eastAsia" w:ascii="仿宋_GB2312" w:eastAsia="仿宋_GB2312"/>
          <w:sz w:val="32"/>
          <w:szCs w:val="32"/>
        </w:rPr>
      </w:pPr>
      <w:r>
        <w:rPr>
          <w:rFonts w:hint="eastAsia" w:ascii="仿宋_GB2312" w:eastAsia="仿宋_GB2312"/>
          <w:sz w:val="32"/>
          <w:szCs w:val="32"/>
        </w:rPr>
        <w:t>（二）统筹、协调和指导本市教育工作。统一管理本市学前教育、初等教育、中等教育、高等教育及其他各类教育事业；负责推进义务教育均衡发展和促进教育公平。</w:t>
      </w:r>
    </w:p>
    <w:p>
      <w:pPr>
        <w:ind w:firstLine="640" w:firstLineChars="200"/>
        <w:rPr>
          <w:rFonts w:hint="eastAsia" w:ascii="仿宋_GB2312" w:eastAsia="仿宋_GB2312"/>
          <w:sz w:val="32"/>
          <w:szCs w:val="32"/>
        </w:rPr>
      </w:pPr>
      <w:r>
        <w:rPr>
          <w:rFonts w:hint="eastAsia" w:ascii="仿宋_GB2312" w:eastAsia="仿宋_GB2312"/>
          <w:sz w:val="32"/>
          <w:szCs w:val="32"/>
        </w:rPr>
        <w:t>（三）指导教育系统及农村、企业、社区的综合教育改革工作；推进职业教育和高等教育的发展与改革，承担深化市属高等学校管理体制改革的责任。</w:t>
      </w:r>
    </w:p>
    <w:p>
      <w:pPr>
        <w:ind w:firstLine="640" w:firstLineChars="200"/>
        <w:rPr>
          <w:rFonts w:hint="eastAsia" w:ascii="仿宋_GB2312" w:eastAsia="仿宋_GB2312"/>
          <w:sz w:val="32"/>
          <w:szCs w:val="32"/>
        </w:rPr>
      </w:pPr>
      <w:r>
        <w:rPr>
          <w:rFonts w:hint="eastAsia" w:ascii="仿宋_GB2312" w:eastAsia="仿宋_GB2312"/>
          <w:sz w:val="32"/>
          <w:szCs w:val="32"/>
        </w:rPr>
        <w:t>（四）统筹、协调和指导本市学习型社会、终身学习服务体系建设工作。</w:t>
      </w:r>
    </w:p>
    <w:p>
      <w:pPr>
        <w:ind w:firstLine="640" w:firstLineChars="200"/>
        <w:rPr>
          <w:rFonts w:hint="eastAsia" w:ascii="仿宋_GB2312" w:eastAsia="仿宋_GB2312"/>
          <w:sz w:val="32"/>
          <w:szCs w:val="32"/>
        </w:rPr>
      </w:pPr>
      <w:r>
        <w:rPr>
          <w:rFonts w:hint="eastAsia" w:ascii="仿宋_GB2312" w:eastAsia="仿宋_GB2312"/>
          <w:sz w:val="32"/>
          <w:szCs w:val="32"/>
        </w:rPr>
        <w:t>（五）根据管理权限，负责审核、审批国家及国家机构以外的社会组织或者个人举办的学校及其他教育机构、项目的设置、变更、终止，并履行监管职责；管理市属高等学校的专业设置；管理本市中外合作办学工作；管理本市学位工作；协调管理中央部委在京高等学校。</w:t>
      </w:r>
    </w:p>
    <w:p>
      <w:pPr>
        <w:ind w:firstLine="640" w:firstLineChars="200"/>
        <w:rPr>
          <w:rFonts w:hint="eastAsia" w:ascii="仿宋_GB2312" w:eastAsia="仿宋_GB2312"/>
          <w:sz w:val="32"/>
          <w:szCs w:val="32"/>
        </w:rPr>
      </w:pPr>
      <w:r>
        <w:rPr>
          <w:rFonts w:hint="eastAsia" w:ascii="仿宋_GB2312" w:eastAsia="仿宋_GB2312"/>
          <w:sz w:val="32"/>
          <w:szCs w:val="32"/>
        </w:rPr>
        <w:t>（六）拟订中等及中等以下教育学校的设置和办学标准；制定教学基本要求和基本文件；编写中等及中等以下教育学校的教材，审定基础教育地方教材；负责教育教学质量的评估和监控工作。</w:t>
      </w:r>
    </w:p>
    <w:p>
      <w:pPr>
        <w:ind w:firstLine="640" w:firstLineChars="200"/>
        <w:rPr>
          <w:rFonts w:hint="eastAsia" w:ascii="仿宋_GB2312" w:eastAsia="仿宋_GB2312"/>
          <w:sz w:val="32"/>
          <w:szCs w:val="32"/>
        </w:rPr>
      </w:pPr>
      <w:r>
        <w:rPr>
          <w:rFonts w:hint="eastAsia" w:ascii="仿宋_GB2312" w:eastAsia="仿宋_GB2312"/>
          <w:sz w:val="32"/>
          <w:szCs w:val="32"/>
        </w:rPr>
        <w:t>（七）拟订本市招生考试与评价制度改革政策和高等教育、中等教育以及研究生教育的招生计划，并负责考试的组织和管理工作；负责北京地区中等以上学历教育学生的学籍管理工作；负责北京地区高等学校学生申诉处理工作。</w:t>
      </w:r>
    </w:p>
    <w:p>
      <w:pPr>
        <w:ind w:firstLine="640" w:firstLineChars="200"/>
        <w:rPr>
          <w:rFonts w:hint="eastAsia" w:ascii="仿宋_GB2312" w:eastAsia="仿宋_GB2312"/>
          <w:sz w:val="32"/>
          <w:szCs w:val="32"/>
        </w:rPr>
      </w:pPr>
      <w:r>
        <w:rPr>
          <w:rFonts w:hint="eastAsia" w:ascii="仿宋_GB2312" w:eastAsia="仿宋_GB2312"/>
          <w:sz w:val="32"/>
          <w:szCs w:val="32"/>
        </w:rPr>
        <w:t>（八）参与拟订北京地区高等学校毕业生就业政策，并组织实施，推进高等学校毕业生就业制度改革；指导高等学校开展大学生就业创业工作。</w:t>
      </w:r>
    </w:p>
    <w:p>
      <w:pPr>
        <w:ind w:firstLine="640" w:firstLineChars="200"/>
        <w:rPr>
          <w:rFonts w:hint="eastAsia" w:ascii="仿宋_GB2312" w:eastAsia="仿宋_GB2312"/>
          <w:sz w:val="32"/>
          <w:szCs w:val="32"/>
        </w:rPr>
      </w:pPr>
      <w:r>
        <w:rPr>
          <w:rFonts w:hint="eastAsia" w:ascii="仿宋_GB2312" w:eastAsia="仿宋_GB2312"/>
          <w:sz w:val="32"/>
          <w:szCs w:val="32"/>
        </w:rPr>
        <w:t>（九）管理、指导本市各级各类学校思想政治工作、德育工作、体育卫生与艺术教育及国防教育工作；指导和协调各类学生的社会实践和校外教育工作。</w:t>
      </w:r>
    </w:p>
    <w:p>
      <w:pPr>
        <w:ind w:firstLine="640" w:firstLineChars="200"/>
        <w:rPr>
          <w:rFonts w:hint="eastAsia" w:ascii="仿宋_GB2312" w:eastAsia="仿宋_GB2312"/>
          <w:sz w:val="32"/>
          <w:szCs w:val="32"/>
        </w:rPr>
      </w:pPr>
      <w:r>
        <w:rPr>
          <w:rFonts w:hint="eastAsia" w:ascii="仿宋_GB2312" w:eastAsia="仿宋_GB2312"/>
          <w:sz w:val="32"/>
          <w:szCs w:val="32"/>
        </w:rPr>
        <w:t>（十）规划、指导本市高等学校自然科学和哲学、社会科学研究；组织高等学校承担国家及本市重大科研项目；指导本市高等学校科技创新平台的发展建设；指导教育信息化和产学研结合等工作。</w:t>
      </w:r>
    </w:p>
    <w:p>
      <w:pPr>
        <w:ind w:firstLine="640" w:firstLineChars="200"/>
        <w:rPr>
          <w:rFonts w:hint="eastAsia" w:ascii="仿宋_GB2312" w:eastAsia="仿宋_GB2312"/>
          <w:sz w:val="32"/>
          <w:szCs w:val="32"/>
        </w:rPr>
      </w:pPr>
      <w:r>
        <w:rPr>
          <w:rFonts w:hint="eastAsia" w:ascii="仿宋_GB2312" w:eastAsia="仿宋_GB2312"/>
          <w:sz w:val="32"/>
          <w:szCs w:val="32"/>
        </w:rPr>
        <w:t>（十一）负责协调、指导本市教育系统人事制度改革工作；参与拟订国家举办的各级各类学校编制标准；主管本市教师工作；指导教育系统教师和管理人员队伍建设；负责北京地区教师资格认定；管理本市教育类社会团体。</w:t>
      </w:r>
    </w:p>
    <w:p>
      <w:pPr>
        <w:ind w:firstLine="640" w:firstLineChars="200"/>
        <w:rPr>
          <w:rFonts w:hint="eastAsia" w:ascii="仿宋_GB2312" w:eastAsia="仿宋_GB2312"/>
          <w:sz w:val="32"/>
          <w:szCs w:val="32"/>
        </w:rPr>
      </w:pPr>
      <w:r>
        <w:rPr>
          <w:rFonts w:hint="eastAsia" w:ascii="仿宋_GB2312" w:eastAsia="仿宋_GB2312"/>
          <w:sz w:val="32"/>
          <w:szCs w:val="32"/>
        </w:rPr>
        <w:t>（十二）会同有关部门拟订本市筹措教育经费、教育基建投资的政策；负责统筹管理市本级教育基建投资、教育事业经费和地方教育附加及国外教育援助和教育贷款；管理市本级教育国有资产和教育基本建设项目；负责协调高教园区建设工作；监督教育经费预算的执行情况。</w:t>
      </w:r>
    </w:p>
    <w:p>
      <w:pPr>
        <w:ind w:firstLine="640" w:firstLineChars="200"/>
        <w:rPr>
          <w:rFonts w:hint="eastAsia" w:ascii="仿宋_GB2312" w:eastAsia="仿宋_GB2312"/>
          <w:sz w:val="32"/>
          <w:szCs w:val="32"/>
        </w:rPr>
      </w:pPr>
      <w:r>
        <w:rPr>
          <w:rFonts w:hint="eastAsia" w:ascii="仿宋_GB2312" w:eastAsia="仿宋_GB2312"/>
          <w:sz w:val="32"/>
          <w:szCs w:val="32"/>
        </w:rPr>
        <w:t>（十三）规划、指导学校后勤改革工作；协调组织有关部门、区县做好校园及周边环境整治，维护学校正常秩序等工作。</w:t>
      </w:r>
      <w:bookmarkStart w:id="0" w:name="_GoBack"/>
      <w:bookmarkEnd w:id="0"/>
    </w:p>
    <w:p>
      <w:pPr>
        <w:ind w:firstLine="640" w:firstLineChars="200"/>
        <w:rPr>
          <w:rFonts w:hint="eastAsia" w:ascii="仿宋_GB2312" w:eastAsia="仿宋_GB2312"/>
          <w:sz w:val="32"/>
          <w:szCs w:val="32"/>
        </w:rPr>
      </w:pPr>
      <w:r>
        <w:rPr>
          <w:rFonts w:hint="eastAsia" w:ascii="仿宋_GB2312" w:eastAsia="仿宋_GB2312"/>
          <w:sz w:val="32"/>
          <w:szCs w:val="32"/>
        </w:rPr>
        <w:t>（十四）负责本市教育系统国际合作与交流工作；管理教育系统及出国留学和境外人员来京学习；指导对外汉语教学和教育系统引进国外智力工作；开展与港澳台的教育交流与合作；负责在本市举办国际教育展览的审批。</w:t>
      </w:r>
    </w:p>
    <w:p>
      <w:pPr>
        <w:ind w:firstLine="640" w:firstLineChars="200"/>
        <w:rPr>
          <w:rFonts w:hint="eastAsia" w:ascii="仿宋_GB2312" w:eastAsia="仿宋_GB2312"/>
          <w:sz w:val="32"/>
          <w:szCs w:val="32"/>
        </w:rPr>
      </w:pPr>
      <w:r>
        <w:rPr>
          <w:rFonts w:hint="eastAsia" w:ascii="仿宋_GB2312" w:eastAsia="仿宋_GB2312"/>
          <w:sz w:val="32"/>
          <w:szCs w:val="32"/>
        </w:rPr>
        <w:t>（十五）规划、指导本市教育科学研究、教育教学研究和教育现代信息技术发展工作；负责本市语言文字规范化建设工作。</w:t>
      </w:r>
    </w:p>
    <w:p>
      <w:pPr>
        <w:ind w:firstLine="640" w:firstLineChars="200"/>
        <w:rPr>
          <w:rFonts w:hint="eastAsia" w:ascii="仿宋_GB2312" w:eastAsia="仿宋_GB2312"/>
          <w:sz w:val="32"/>
          <w:szCs w:val="32"/>
        </w:rPr>
      </w:pPr>
      <w:r>
        <w:rPr>
          <w:rFonts w:hint="eastAsia" w:ascii="仿宋_GB2312" w:eastAsia="仿宋_GB2312"/>
          <w:sz w:val="32"/>
          <w:szCs w:val="32"/>
        </w:rPr>
        <w:t>（十六）依法对本市教育系统的安全工作承担管理责任，对以市教委名义组织的各类活动的安全工作承担主体责任。</w:t>
      </w:r>
    </w:p>
    <w:p>
      <w:pPr>
        <w:ind w:firstLine="640" w:firstLineChars="200"/>
        <w:rPr>
          <w:rFonts w:hint="eastAsia" w:ascii="仿宋_GB2312" w:eastAsia="仿宋_GB2312"/>
          <w:sz w:val="32"/>
          <w:szCs w:val="32"/>
        </w:rPr>
      </w:pPr>
      <w:r>
        <w:rPr>
          <w:rFonts w:hint="eastAsia" w:ascii="仿宋_GB2312" w:eastAsia="仿宋_GB2312"/>
          <w:sz w:val="32"/>
          <w:szCs w:val="32"/>
        </w:rPr>
        <w:t>（十七）承办市政府交办的其他事项。</w:t>
      </w:r>
    </w:p>
    <w:p>
      <w:pPr>
        <w:ind w:firstLine="643" w:firstLineChars="200"/>
        <w:rPr>
          <w:rFonts w:hint="eastAsia" w:ascii="仿宋_GB2312" w:eastAsia="仿宋_GB2312"/>
          <w:b/>
          <w:sz w:val="32"/>
          <w:szCs w:val="32"/>
        </w:rPr>
      </w:pPr>
      <w:r>
        <w:rPr>
          <w:rFonts w:hint="eastAsia" w:ascii="仿宋_GB2312" w:eastAsia="仿宋_GB2312"/>
          <w:b/>
          <w:sz w:val="32"/>
          <w:szCs w:val="32"/>
        </w:rPr>
        <w:t>北京市人民政府教育督导室主要职责：</w:t>
      </w:r>
    </w:p>
    <w:p>
      <w:pPr>
        <w:ind w:firstLine="640" w:firstLineChars="200"/>
        <w:rPr>
          <w:rFonts w:hint="eastAsia" w:ascii="仿宋_GB2312" w:eastAsia="仿宋_GB2312"/>
          <w:sz w:val="32"/>
          <w:szCs w:val="32"/>
        </w:rPr>
      </w:pPr>
      <w:r>
        <w:rPr>
          <w:rFonts w:hint="eastAsia" w:ascii="仿宋_GB2312" w:eastAsia="仿宋_GB2312"/>
          <w:sz w:val="32"/>
          <w:szCs w:val="32"/>
        </w:rPr>
        <w:t>统筹规划、组织实施本市教育督导工作，制定有关教育督导与评估的规章制度和实施方案；组织教育法律法规贯彻执行情况的督导检查；对本市义务教育实施情况进行监测，对义务教育的教育教学质量和均衡发展状况实施督导检查；对中等及中等以下教育进行督导评估，并根据法律、法规的规定开展对职业教育和民办教育等其他教育的督导检查；对区县政府的教育工作进行督导和评估；对教育工作中的重大问题进行调查研究，对本市教育政策的施行效果进行评价，提出报告和建议；指导区县及市属有关单位开展教育督导工作。负责发布督导报告。</w:t>
      </w:r>
    </w:p>
    <w:p>
      <w:pPr>
        <w:rPr>
          <w:rFonts w:hint="eastAsia" w:ascii="仿宋_GB2312" w:eastAsia="仿宋_GB2312"/>
          <w:sz w:val="32"/>
          <w:szCs w:val="32"/>
        </w:rPr>
      </w:pPr>
    </w:p>
    <w:p>
      <w:pPr>
        <w:ind w:firstLine="643" w:firstLineChars="200"/>
        <w:rPr>
          <w:rFonts w:hint="eastAsia" w:ascii="仿宋_GB2312" w:eastAsia="仿宋_GB2312"/>
          <w:b/>
          <w:sz w:val="32"/>
          <w:szCs w:val="32"/>
        </w:rPr>
      </w:pPr>
      <w:r>
        <w:rPr>
          <w:rFonts w:hint="eastAsia" w:ascii="仿宋_GB2312" w:eastAsia="仿宋_GB2312"/>
          <w:b/>
          <w:sz w:val="32"/>
          <w:szCs w:val="32"/>
        </w:rPr>
        <w:t>二、2012年收入和支出总体情况</w:t>
      </w:r>
    </w:p>
    <w:p>
      <w:pPr>
        <w:ind w:firstLine="640" w:firstLineChars="200"/>
        <w:rPr>
          <w:rFonts w:hint="eastAsia" w:ascii="仿宋_GB2312" w:eastAsia="仿宋_GB2312"/>
          <w:sz w:val="32"/>
          <w:szCs w:val="32"/>
        </w:rPr>
      </w:pPr>
      <w:r>
        <w:rPr>
          <w:rFonts w:hint="eastAsia" w:ascii="仿宋_GB2312" w:eastAsia="仿宋_GB2312"/>
          <w:sz w:val="32"/>
          <w:szCs w:val="32"/>
        </w:rPr>
        <w:t>2012年本年收入2,540,022.6万元，包括财政拨款2,157,078.15万元，事业收入165,836.64万元，经营收入104,971.46万元，附属单位缴款8,022.59万元，其他收入104,113.76万元。</w:t>
      </w:r>
    </w:p>
    <w:p>
      <w:pPr>
        <w:ind w:firstLine="640" w:firstLineChars="200"/>
        <w:rPr>
          <w:rFonts w:hint="eastAsia" w:ascii="仿宋_GB2312" w:eastAsia="仿宋_GB2312"/>
          <w:sz w:val="32"/>
          <w:szCs w:val="32"/>
        </w:rPr>
      </w:pPr>
      <w:r>
        <w:rPr>
          <w:rFonts w:hint="eastAsia" w:ascii="仿宋_GB2312" w:eastAsia="仿宋_GB2312"/>
          <w:sz w:val="32"/>
          <w:szCs w:val="32"/>
        </w:rPr>
        <w:t>2012年本年支出2,407,101.65万元，包括基本支出</w:t>
      </w:r>
      <w:r>
        <w:rPr>
          <w:rFonts w:ascii="仿宋_GB2312" w:eastAsia="仿宋_GB2312"/>
          <w:sz w:val="32"/>
          <w:szCs w:val="32"/>
        </w:rPr>
        <w:t>933,564.4</w:t>
      </w:r>
      <w:r>
        <w:rPr>
          <w:rFonts w:hint="eastAsia" w:ascii="仿宋_GB2312" w:eastAsia="仿宋_GB2312"/>
          <w:sz w:val="32"/>
          <w:szCs w:val="32"/>
        </w:rPr>
        <w:t>5万元，项目支出</w:t>
      </w:r>
      <w:r>
        <w:rPr>
          <w:rFonts w:ascii="仿宋_GB2312" w:eastAsia="仿宋_GB2312"/>
          <w:sz w:val="32"/>
          <w:szCs w:val="32"/>
        </w:rPr>
        <w:t>1,380,123.5</w:t>
      </w:r>
      <w:r>
        <w:rPr>
          <w:rFonts w:hint="eastAsia" w:ascii="仿宋_GB2312" w:eastAsia="仿宋_GB2312"/>
          <w:sz w:val="32"/>
          <w:szCs w:val="32"/>
        </w:rPr>
        <w:t>8万元，经营支出93,357.89万元，对附属单位补助支出55.73万元。</w:t>
      </w:r>
    </w:p>
    <w:p>
      <w:pPr>
        <w:ind w:firstLine="640" w:firstLineChars="200"/>
        <w:rPr>
          <w:rFonts w:hint="eastAsia" w:ascii="仿宋_GB2312" w:eastAsia="仿宋_GB2312"/>
          <w:sz w:val="32"/>
          <w:szCs w:val="32"/>
        </w:rPr>
      </w:pPr>
      <w:r>
        <w:rPr>
          <w:rFonts w:hint="eastAsia" w:ascii="仿宋_GB2312" w:eastAsia="仿宋_GB2312"/>
          <w:sz w:val="32"/>
          <w:szCs w:val="32"/>
        </w:rPr>
        <w:t>2012年支出包括基本支出和项目支出，其中基本支出主要是为保障预算单位人员经费、正常运转经费，以及教育教学、科研等基本业务活动经费以及医疗保障经费；项目支出主要用于人才强教深化计划、专业建设、实验室建设、实训基地建设、教育教学、学科与研究生教育、科研计划、科研基地、科研成果转化、图书馆建设、信息化建设、基础设施改造、设备购置、学生资助、北京市与央属高校共建、留学生奖学金、汉语国际推广、中等职业实训基地建设、中等职业教育教学建设、直属单位业务发展、基础教育市级统筹的学前教育三年行动计划和中小学建设三年行动计划、民办教育引导、基本建设等。</w:t>
      </w:r>
    </w:p>
    <w:p>
      <w:pPr>
        <w:ind w:firstLine="790" w:firstLineChars="246"/>
        <w:rPr>
          <w:rFonts w:hint="eastAsia" w:ascii="仿宋_GB2312" w:eastAsia="仿宋_GB2312"/>
          <w:b/>
          <w:sz w:val="32"/>
          <w:szCs w:val="32"/>
        </w:rPr>
      </w:pPr>
      <w:r>
        <w:rPr>
          <w:rFonts w:hint="eastAsia" w:ascii="仿宋_GB2312" w:eastAsia="仿宋_GB2312"/>
          <w:b/>
          <w:sz w:val="32"/>
          <w:szCs w:val="32"/>
        </w:rPr>
        <w:t>三、2012年度公共财政预算财政拨款决算支出情况说明</w:t>
      </w:r>
    </w:p>
    <w:p>
      <w:pPr>
        <w:ind w:firstLine="640" w:firstLineChars="200"/>
        <w:rPr>
          <w:rFonts w:hint="eastAsia" w:ascii="仿宋_GB2312" w:eastAsia="仿宋_GB2312"/>
          <w:sz w:val="32"/>
          <w:szCs w:val="32"/>
        </w:rPr>
      </w:pPr>
      <w:r>
        <w:rPr>
          <w:rFonts w:hint="eastAsia" w:ascii="仿宋_GB2312" w:eastAsia="仿宋_GB2312"/>
          <w:sz w:val="32"/>
          <w:szCs w:val="32"/>
        </w:rPr>
        <w:t>（一）“教育”2012年度决算1,988,725.68万元，比2012年年初预算（不包括基本建设资金、部分大额专项资金和中央下达的专项转移支付资金及年初结转和结余资金，下同）增加672,739.38万元，增长51.12%。其中：</w:t>
      </w:r>
    </w:p>
    <w:p>
      <w:pPr>
        <w:ind w:firstLine="640" w:firstLineChars="200"/>
        <w:rPr>
          <w:rFonts w:hint="eastAsia" w:ascii="仿宋_GB2312" w:eastAsia="仿宋_GB2312"/>
          <w:sz w:val="32"/>
          <w:szCs w:val="32"/>
        </w:rPr>
      </w:pPr>
      <w:r>
        <w:rPr>
          <w:rFonts w:hint="eastAsia" w:ascii="仿宋_GB2312" w:eastAsia="仿宋_GB2312"/>
          <w:sz w:val="32"/>
          <w:szCs w:val="32"/>
        </w:rPr>
        <w:t>“教育管理事务”2012年度决算4,282.13万元，比2012年年初预算增加938.20万元，增长28.06%。主要原因是根据全市统一政策增加的人员经费支出。</w:t>
      </w:r>
    </w:p>
    <w:p>
      <w:pPr>
        <w:ind w:firstLine="640" w:firstLineChars="200"/>
        <w:rPr>
          <w:rFonts w:hint="eastAsia" w:ascii="仿宋_GB2312" w:eastAsia="仿宋_GB2312"/>
          <w:sz w:val="32"/>
          <w:szCs w:val="32"/>
        </w:rPr>
      </w:pPr>
      <w:r>
        <w:rPr>
          <w:rFonts w:hint="eastAsia" w:ascii="仿宋_GB2312" w:eastAsia="仿宋_GB2312"/>
          <w:sz w:val="32"/>
          <w:szCs w:val="32"/>
        </w:rPr>
        <w:t>“普通教育”2012年度决算1,695,338.92万元，比2012年年初预算增加658,496.80万元，增长63.51%。主要原因：一是由于部分年初确定的项目还需进一步对实施方案进行论证，履行论证程序，年初未批复，随着相关程序的完成，年度内陆续批复并执行，包括市属高校2010-2012年建设实施规划，北京市与央属高校共建，学校新校区建设，市级统筹用于基础教育教师培训、随迁子女义务教育专项资金、市对区县引导性资金等项目支出；二是新增学校基本建设项目支出；三是落实教育依法增长的要求，年底超收经费安排市对区县经费补助等向基础教育倾斜项目支出；四是项目支出中受延续性和实施周期的影响，2011年部分项目结转至2012年继续执行；五是根据全市统一政策增加的人员经费支出。</w:t>
      </w:r>
    </w:p>
    <w:p>
      <w:pPr>
        <w:ind w:firstLine="640" w:firstLineChars="200"/>
        <w:rPr>
          <w:rFonts w:hint="eastAsia" w:ascii="仿宋_GB2312" w:eastAsia="仿宋_GB2312"/>
          <w:sz w:val="32"/>
          <w:szCs w:val="32"/>
        </w:rPr>
      </w:pPr>
      <w:r>
        <w:rPr>
          <w:rFonts w:hint="eastAsia" w:ascii="仿宋_GB2312" w:eastAsia="仿宋_GB2312"/>
          <w:sz w:val="32"/>
          <w:szCs w:val="32"/>
        </w:rPr>
        <w:t>“职业教育”2012年度决算170,073.99万元，比2012年年初预算增加63,616.27万元，增长59.76%。主要原因：一是部分年初确定的项目还需进一步对实施方案进行论证，履行论证程序，年初未批复，随着相关程序的完成，年度内陆续批复并执行，包括市属高等职业学校2010-2012年建设实施规划、国家改革试点、市属高等职业学校化解债务等项目支出；二是受项目的延续性和实施周期的影响，2011年部分项目结转至2012年继续执行发生的支出；三是根据全市统一政策增加的人员经费支出。</w:t>
      </w:r>
    </w:p>
    <w:p>
      <w:pPr>
        <w:ind w:firstLine="640" w:firstLineChars="200"/>
        <w:rPr>
          <w:rFonts w:hint="eastAsia" w:ascii="仿宋_GB2312" w:eastAsia="仿宋_GB2312"/>
          <w:sz w:val="32"/>
          <w:szCs w:val="32"/>
        </w:rPr>
      </w:pPr>
      <w:r>
        <w:rPr>
          <w:rFonts w:hint="eastAsia" w:ascii="仿宋_GB2312" w:eastAsia="仿宋_GB2312"/>
          <w:sz w:val="32"/>
          <w:szCs w:val="32"/>
        </w:rPr>
        <w:t>“成人教育”2012年度决算14,663.13万元，比2012年年初预算增加1,692.09万元，增长13.05%。主要原因：一是根据全市统一政策增加的人员经费支出；二是根据教育事业发展实际需求，新增安排的基础设施改造、设备更新等改善办学条件等支出；三是受项目的延续性和实施周期的影响，2011年部分项目结转至2012年继续执行发生的支出。</w:t>
      </w:r>
    </w:p>
    <w:p>
      <w:pPr>
        <w:ind w:firstLine="640" w:firstLineChars="200"/>
        <w:rPr>
          <w:rFonts w:hint="eastAsia" w:ascii="仿宋_GB2312" w:eastAsia="仿宋_GB2312"/>
          <w:sz w:val="32"/>
          <w:szCs w:val="32"/>
        </w:rPr>
      </w:pPr>
      <w:r>
        <w:rPr>
          <w:rFonts w:hint="eastAsia" w:ascii="仿宋_GB2312" w:eastAsia="仿宋_GB2312"/>
          <w:sz w:val="32"/>
          <w:szCs w:val="32"/>
        </w:rPr>
        <w:t>“广播电视教育”2012年度决算6,960.93万元，比2012年年初预算增加372.75万元，增长5.66%。主要原因：一是根据全市统一政策增加的人员经费支出；二是受项目的延续性和实施周期的影响，2011年部分项目结转至2012年继续执行发生的支出。</w:t>
      </w:r>
    </w:p>
    <w:p>
      <w:pPr>
        <w:ind w:firstLine="640" w:firstLineChars="200"/>
        <w:rPr>
          <w:rFonts w:hint="eastAsia" w:ascii="仿宋_GB2312" w:eastAsia="仿宋_GB2312"/>
          <w:sz w:val="32"/>
          <w:szCs w:val="32"/>
        </w:rPr>
      </w:pPr>
      <w:r>
        <w:rPr>
          <w:rFonts w:hint="eastAsia" w:ascii="仿宋_GB2312" w:eastAsia="仿宋_GB2312"/>
          <w:sz w:val="32"/>
          <w:szCs w:val="32"/>
        </w:rPr>
        <w:t>“特殊教育”2012年度决算4,390.24万元，比2012年年初预算增加506.94万元，增长13.05%。主要原因：一是根据全市统一政策增加的人员经费支出；二是受项目的延续性和实施周期的影响，2011年部分项目结转至2012年继续执行发生的支出。</w:t>
      </w:r>
    </w:p>
    <w:p>
      <w:pPr>
        <w:ind w:firstLine="640" w:firstLineChars="200"/>
        <w:rPr>
          <w:rFonts w:hint="eastAsia" w:ascii="仿宋_GB2312" w:eastAsia="仿宋_GB2312"/>
          <w:sz w:val="32"/>
          <w:szCs w:val="32"/>
        </w:rPr>
      </w:pPr>
      <w:r>
        <w:rPr>
          <w:rFonts w:hint="eastAsia" w:ascii="仿宋_GB2312" w:eastAsia="仿宋_GB2312"/>
          <w:sz w:val="32"/>
          <w:szCs w:val="32"/>
        </w:rPr>
        <w:t>“教育费附加安排的支出”2012年度决算16,980.66万元，比2012年年初预算增加14,118.28万元，增长</w:t>
      </w:r>
      <w:r>
        <w:rPr>
          <w:rFonts w:ascii="仿宋_GB2312" w:eastAsia="仿宋_GB2312"/>
          <w:sz w:val="32"/>
          <w:szCs w:val="32"/>
        </w:rPr>
        <w:t>493.24%</w:t>
      </w:r>
      <w:r>
        <w:rPr>
          <w:rFonts w:hint="eastAsia" w:ascii="仿宋_GB2312" w:eastAsia="仿宋_GB2312"/>
          <w:sz w:val="32"/>
          <w:szCs w:val="32"/>
        </w:rPr>
        <w:t>。主要原因是落实中央关于扩大中等职业学校免学费政策覆盖范围的政策（2012年9月印发），新增市属中等职业学校免学费扩大范围市级补助项目支出。</w:t>
      </w:r>
    </w:p>
    <w:p>
      <w:pPr>
        <w:ind w:firstLine="640" w:firstLineChars="200"/>
        <w:rPr>
          <w:rFonts w:hint="eastAsia" w:ascii="仿宋_GB2312" w:eastAsia="仿宋_GB2312"/>
          <w:sz w:val="32"/>
          <w:szCs w:val="32"/>
        </w:rPr>
      </w:pPr>
      <w:r>
        <w:rPr>
          <w:rFonts w:hint="eastAsia" w:ascii="仿宋_GB2312" w:eastAsia="仿宋_GB2312"/>
          <w:sz w:val="32"/>
          <w:szCs w:val="32"/>
        </w:rPr>
        <w:t>“其他教育支出”2012年度决算76,035.68万元，比2012年年初预算减少67,001.95万元，减少46.84%。主要原因是由于年初批复的机动经费列在“其他教育支出”中，在年度执行中具体用于市属高校的新校区建设及按照全市统一政策增加的人员经费等支出，因此支出科目间进行了调整。</w:t>
      </w:r>
    </w:p>
    <w:p>
      <w:pPr>
        <w:ind w:firstLine="640" w:firstLineChars="200"/>
        <w:rPr>
          <w:rFonts w:hint="eastAsia" w:ascii="仿宋_GB2312" w:eastAsia="仿宋_GB2312"/>
          <w:sz w:val="32"/>
          <w:szCs w:val="32"/>
        </w:rPr>
      </w:pPr>
      <w:r>
        <w:rPr>
          <w:rFonts w:hint="eastAsia" w:ascii="仿宋_GB2312" w:eastAsia="仿宋_GB2312"/>
          <w:sz w:val="32"/>
          <w:szCs w:val="32"/>
        </w:rPr>
        <w:t>（二）“科学技术”2012年度决算853.94万元，比2012年年初预算增加853.94万元。其中：</w:t>
      </w:r>
    </w:p>
    <w:p>
      <w:pPr>
        <w:ind w:firstLine="640" w:firstLineChars="200"/>
        <w:rPr>
          <w:rFonts w:hint="eastAsia" w:ascii="仿宋_GB2312" w:eastAsia="仿宋_GB2312"/>
          <w:sz w:val="32"/>
          <w:szCs w:val="32"/>
        </w:rPr>
      </w:pPr>
      <w:r>
        <w:rPr>
          <w:rFonts w:hint="eastAsia" w:ascii="仿宋_GB2312" w:eastAsia="仿宋_GB2312"/>
          <w:sz w:val="32"/>
          <w:szCs w:val="32"/>
        </w:rPr>
        <w:t>“应用研究”2012年度决算42.41万元，比2012年年初预算增加42.41万元。主要原因：一是新增2012年现代农业产业技术体系建设项目支出；二是受项目的延续性和实施周期的影响，2011年项目结转至2012年继续执行发生的支出。</w:t>
      </w:r>
    </w:p>
    <w:p>
      <w:pPr>
        <w:ind w:firstLine="640" w:firstLineChars="200"/>
        <w:rPr>
          <w:rFonts w:hint="eastAsia" w:ascii="仿宋_GB2312" w:eastAsia="仿宋_GB2312"/>
          <w:sz w:val="32"/>
          <w:szCs w:val="32"/>
        </w:rPr>
      </w:pPr>
      <w:r>
        <w:rPr>
          <w:rFonts w:hint="eastAsia" w:ascii="仿宋_GB2312" w:eastAsia="仿宋_GB2312"/>
          <w:sz w:val="32"/>
          <w:szCs w:val="32"/>
        </w:rPr>
        <w:t>“其他科学技术支出”2012年度决算811.53万元，比2012年年初预算增加811.53万元。主要原因：一是新增了2012家禽产业技术体系北京市创新团队、引进人才科研启动项目支出；二是受项目的延续性和实施周期的影响，2011年项目结转至2012年继续执行发生的支出。</w:t>
      </w:r>
    </w:p>
    <w:p>
      <w:pPr>
        <w:ind w:firstLine="640" w:firstLineChars="200"/>
        <w:rPr>
          <w:rFonts w:hint="eastAsia" w:ascii="仿宋_GB2312" w:eastAsia="仿宋_GB2312"/>
          <w:sz w:val="32"/>
          <w:szCs w:val="32"/>
        </w:rPr>
      </w:pPr>
      <w:r>
        <w:rPr>
          <w:rFonts w:hint="eastAsia" w:ascii="仿宋_GB2312" w:eastAsia="仿宋_GB2312"/>
          <w:sz w:val="32"/>
          <w:szCs w:val="32"/>
        </w:rPr>
        <w:t>（三）“社会保障和就业”2012年度决算2,098.04万元，比2012年年初预算增加272.54万元，增长14.93%。其中：“行政事业单位离退休”2012年度决算2,098.04万元，比2012年年初预算增加272.54万元，增长14.93%。主要原因是根据全市统一政策，调增离退休人员经费保障标准。</w:t>
      </w:r>
    </w:p>
    <w:p>
      <w:pPr>
        <w:ind w:firstLine="640" w:firstLineChars="200"/>
        <w:rPr>
          <w:rFonts w:hint="eastAsia" w:ascii="仿宋_GB2312" w:eastAsia="仿宋_GB2312"/>
          <w:sz w:val="32"/>
          <w:szCs w:val="32"/>
        </w:rPr>
      </w:pPr>
      <w:r>
        <w:rPr>
          <w:rFonts w:hint="eastAsia" w:ascii="仿宋_GB2312" w:eastAsia="仿宋_GB2312"/>
          <w:sz w:val="32"/>
          <w:szCs w:val="32"/>
        </w:rPr>
        <w:t>（四）“医疗卫生”2012年度决算272.56万元，与2012年年初预算持平。其中：“医疗保障”2012年度决算272.56万元，与2012年年初预算持平。</w:t>
      </w:r>
    </w:p>
    <w:p>
      <w:pPr>
        <w:ind w:firstLine="640" w:firstLineChars="200"/>
        <w:rPr>
          <w:rFonts w:hint="eastAsia" w:ascii="仿宋_GB2312" w:eastAsia="仿宋_GB2312"/>
          <w:sz w:val="32"/>
          <w:szCs w:val="32"/>
        </w:rPr>
      </w:pPr>
      <w:r>
        <w:rPr>
          <w:rFonts w:hint="eastAsia" w:ascii="仿宋_GB2312" w:eastAsia="仿宋_GB2312"/>
          <w:sz w:val="32"/>
          <w:szCs w:val="32"/>
        </w:rPr>
        <w:t>（五）“节能环保”2012年度决算342.19万元，比2012年年初预算增加342.19万元。其中：</w:t>
      </w:r>
    </w:p>
    <w:p>
      <w:pPr>
        <w:ind w:firstLine="640" w:firstLineChars="200"/>
        <w:rPr>
          <w:rFonts w:hint="eastAsia" w:ascii="仿宋_GB2312" w:eastAsia="仿宋_GB2312"/>
          <w:sz w:val="32"/>
          <w:szCs w:val="32"/>
        </w:rPr>
      </w:pPr>
      <w:r>
        <w:rPr>
          <w:rFonts w:hint="eastAsia" w:ascii="仿宋_GB2312" w:eastAsia="仿宋_GB2312"/>
          <w:sz w:val="32"/>
          <w:szCs w:val="32"/>
        </w:rPr>
        <w:t>“能源节约利用”2012年度决算281.66万元，比2012年年初预算增加281.66万元。主要原因是受项目的延续性和实施周期的影响，2011年国家机关办公建筑和大型公共建筑节能监管体系建设项目结转至2012年继续执行发生的支出。</w:t>
      </w:r>
    </w:p>
    <w:p>
      <w:pPr>
        <w:ind w:firstLine="640" w:firstLineChars="200"/>
        <w:rPr>
          <w:rFonts w:hint="eastAsia" w:ascii="仿宋_GB2312" w:eastAsia="仿宋_GB2312"/>
          <w:sz w:val="32"/>
          <w:szCs w:val="32"/>
        </w:rPr>
      </w:pPr>
      <w:r>
        <w:rPr>
          <w:rFonts w:hint="eastAsia" w:ascii="仿宋_GB2312" w:eastAsia="仿宋_GB2312"/>
          <w:sz w:val="32"/>
          <w:szCs w:val="32"/>
        </w:rPr>
        <w:t>“可再生能源”2012年度决算60.53万元，比2012年年初预算增加60.53万元。主要原因是受项目的延续性和实施周期的影响，2011年可再生能源建筑应用项目结转至2012年继续执行发生的支出。</w:t>
      </w:r>
    </w:p>
    <w:p>
      <w:pPr>
        <w:ind w:firstLine="630" w:firstLineChars="196"/>
        <w:rPr>
          <w:rFonts w:hint="eastAsia" w:ascii="仿宋_GB2312" w:eastAsia="仿宋_GB2312"/>
          <w:b/>
          <w:sz w:val="32"/>
          <w:szCs w:val="32"/>
        </w:rPr>
      </w:pPr>
      <w:r>
        <w:rPr>
          <w:rFonts w:hint="eastAsia" w:ascii="仿宋_GB2312" w:eastAsia="仿宋_GB2312"/>
          <w:b/>
          <w:sz w:val="32"/>
          <w:szCs w:val="32"/>
        </w:rPr>
        <w:t>四、2012年度政府性基金预算财政拨款决算支出情况说明</w:t>
      </w:r>
    </w:p>
    <w:p>
      <w:pPr>
        <w:ind w:firstLine="640" w:firstLineChars="200"/>
        <w:rPr>
          <w:rFonts w:hint="eastAsia" w:ascii="仿宋_GB2312" w:eastAsia="仿宋_GB2312"/>
          <w:sz w:val="32"/>
          <w:szCs w:val="32"/>
        </w:rPr>
      </w:pPr>
      <w:r>
        <w:rPr>
          <w:rFonts w:hint="eastAsia" w:ascii="仿宋_GB2312" w:eastAsia="仿宋_GB2312"/>
          <w:sz w:val="32"/>
          <w:szCs w:val="32"/>
        </w:rPr>
        <w:t>（一）“教育”2012年度决算95,000万元，比2012年年初预算增加95,000万元。其中：“地方教育附加安排的支出”2012年度决算95,000万元，比2012年年初预算增加95,000万元。主要原因是地方教育附加为2012年1月1日起开始征收的政府性基金，2011年编制2012年预算时未有此项政策，因此2012年年初预算中没有该部分经费预算，2012年按照实际征收情况进行安排，用于市属高校和中央高校新校区建设项目支出。</w:t>
      </w:r>
    </w:p>
    <w:p>
      <w:pPr>
        <w:ind w:firstLine="640" w:firstLineChars="200"/>
        <w:rPr>
          <w:rFonts w:hint="eastAsia" w:ascii="仿宋_GB2312" w:eastAsia="仿宋_GB2312"/>
          <w:sz w:val="32"/>
          <w:szCs w:val="32"/>
        </w:rPr>
      </w:pPr>
      <w:r>
        <w:rPr>
          <w:rFonts w:hint="eastAsia" w:ascii="仿宋_GB2312" w:eastAsia="仿宋_GB2312"/>
          <w:sz w:val="32"/>
          <w:szCs w:val="32"/>
        </w:rPr>
        <w:t>（二）“城乡社区事务”2012年度决算459.69万元，比2012年年初预算增加459.69万元。其中：“国有土地使用权出让收入安排的支出”2012年度决算459.69万元，比2012年年初预算增加459.69万元。主要原因是新增学生宿舍工程基本建设项目支出。</w:t>
      </w:r>
    </w:p>
    <w:p>
      <w:pPr>
        <w:ind w:firstLine="640" w:firstLineChars="200"/>
        <w:rPr>
          <w:rFonts w:hint="eastAsia" w:ascii="仿宋_GB2312" w:eastAsia="仿宋_GB2312"/>
          <w:sz w:val="32"/>
          <w:szCs w:val="32"/>
        </w:rPr>
      </w:pPr>
      <w:r>
        <w:rPr>
          <w:rFonts w:hint="eastAsia" w:ascii="仿宋_GB2312" w:eastAsia="仿宋_GB2312"/>
          <w:sz w:val="32"/>
          <w:szCs w:val="32"/>
        </w:rPr>
        <w:t>（三）“其他支出”2012年度决算46.68万元，比2012年年初预算增加46.68万元。其中：“彩票公益金安排的支出”2012年度决算46.68万元，比2012年年初预算增加46.68万元。主要原因受项目的延续性和实施周期的影响，2011年北京市青少年校外活动场所校外辅导员培训项目结转至2012年继续执行发生的支出。</w:t>
      </w:r>
    </w:p>
    <w:p>
      <w:pPr>
        <w:rPr>
          <w:rFonts w:hint="eastAsia" w:ascii="仿宋_GB2312" w:eastAsia="仿宋_GB2312"/>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r>
        <w:rPr>
          <w:rFonts w:hint="eastAsia" w:ascii="仿宋_GB2312" w:eastAsia="仿宋_GB2312"/>
          <w:b/>
          <w:sz w:val="32"/>
          <w:szCs w:val="32"/>
        </w:rPr>
        <w:t>北京市教育委员会2012年度决算年末结转和结余资金的说明</w:t>
      </w:r>
    </w:p>
    <w:p>
      <w:pPr>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2012年决算年末结转和结余</w:t>
      </w:r>
      <w:r>
        <w:rPr>
          <w:rFonts w:ascii="仿宋_GB2312" w:eastAsia="仿宋_GB2312"/>
          <w:sz w:val="32"/>
          <w:szCs w:val="32"/>
        </w:rPr>
        <w:t>50</w:t>
      </w:r>
      <w:r>
        <w:rPr>
          <w:rFonts w:hint="eastAsia" w:ascii="仿宋_GB2312" w:eastAsia="仿宋_GB2312"/>
          <w:sz w:val="32"/>
          <w:szCs w:val="32"/>
        </w:rPr>
        <w:t>.</w:t>
      </w:r>
      <w:r>
        <w:rPr>
          <w:rFonts w:ascii="仿宋_GB2312" w:eastAsia="仿宋_GB2312"/>
          <w:sz w:val="32"/>
          <w:szCs w:val="32"/>
        </w:rPr>
        <w:t>78</w:t>
      </w:r>
      <w:r>
        <w:rPr>
          <w:rFonts w:hint="eastAsia" w:ascii="仿宋_GB2312" w:eastAsia="仿宋_GB2312"/>
          <w:sz w:val="32"/>
          <w:szCs w:val="32"/>
        </w:rPr>
        <w:t>亿元，其中财政拨款结转和结余</w:t>
      </w:r>
      <w:r>
        <w:rPr>
          <w:rFonts w:ascii="仿宋_GB2312" w:eastAsia="仿宋_GB2312"/>
          <w:sz w:val="32"/>
          <w:szCs w:val="32"/>
        </w:rPr>
        <w:t>38.2</w:t>
      </w:r>
      <w:r>
        <w:rPr>
          <w:rFonts w:hint="eastAsia" w:ascii="仿宋_GB2312" w:eastAsia="仿宋_GB2312"/>
          <w:sz w:val="32"/>
          <w:szCs w:val="32"/>
        </w:rPr>
        <w:t>5亿元，非财政拨款结转和结余</w:t>
      </w:r>
      <w:r>
        <w:rPr>
          <w:rFonts w:ascii="仿宋_GB2312" w:eastAsia="仿宋_GB2312"/>
          <w:sz w:val="32"/>
          <w:szCs w:val="32"/>
        </w:rPr>
        <w:t>12.53</w:t>
      </w:r>
      <w:r>
        <w:rPr>
          <w:rFonts w:hint="eastAsia" w:ascii="仿宋_GB2312" w:eastAsia="仿宋_GB2312"/>
          <w:sz w:val="32"/>
          <w:szCs w:val="32"/>
        </w:rPr>
        <w:t>亿元。</w:t>
      </w:r>
    </w:p>
    <w:p>
      <w:pPr>
        <w:ind w:firstLine="640" w:firstLineChars="200"/>
        <w:rPr>
          <w:rFonts w:ascii="仿宋_GB2312" w:eastAsia="仿宋_GB2312"/>
          <w:sz w:val="32"/>
          <w:szCs w:val="32"/>
        </w:rPr>
      </w:pPr>
      <w:r>
        <w:rPr>
          <w:rFonts w:hint="eastAsia" w:ascii="仿宋_GB2312" w:eastAsia="仿宋_GB2312"/>
          <w:sz w:val="32"/>
          <w:szCs w:val="32"/>
        </w:rPr>
        <w:t>财政拨款结转和结余</w:t>
      </w:r>
      <w:r>
        <w:rPr>
          <w:rFonts w:ascii="仿宋_GB2312" w:eastAsia="仿宋_GB2312"/>
          <w:sz w:val="32"/>
          <w:szCs w:val="32"/>
        </w:rPr>
        <w:t>38.2</w:t>
      </w:r>
      <w:r>
        <w:rPr>
          <w:rFonts w:hint="eastAsia" w:ascii="仿宋_GB2312" w:eastAsia="仿宋_GB2312"/>
          <w:sz w:val="32"/>
          <w:szCs w:val="32"/>
        </w:rPr>
        <w:t>5亿元中国库实际结转和结余</w:t>
      </w:r>
      <w:r>
        <w:rPr>
          <w:rFonts w:ascii="仿宋_GB2312" w:eastAsia="仿宋_GB2312"/>
          <w:sz w:val="32"/>
          <w:szCs w:val="32"/>
        </w:rPr>
        <w:t>29.</w:t>
      </w:r>
      <w:r>
        <w:rPr>
          <w:rFonts w:hint="eastAsia" w:ascii="仿宋_GB2312" w:eastAsia="仿宋_GB2312"/>
          <w:sz w:val="32"/>
          <w:szCs w:val="32"/>
        </w:rPr>
        <w:t>90亿元，差额8.35亿元为各单位已从国库零余额账户支出，但因票据、资产入库等手续，无法在2012年年底进行会计核算、形成账面支出而产生的结转和结余。</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形成结转和结余主要是受学校教育活动特点和依法增长的影响，一是学校学年与财政预算年度不同步，教育教学活动计划与预算计划在时间上不完全匹配；同时，政府采购需要履行相关程序，致使部分项目需跨年度完成，财政拨款结转和结余按照现行财政政策可以结转下年继续使用。二是落实依法增长，使用增量资金安排的项目也需履行评审、政府采购等相关预算管理程序，因此形成结转资金。</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截止2013年6月，上年国库结转和结余</w:t>
      </w:r>
      <w:r>
        <w:rPr>
          <w:rFonts w:ascii="仿宋_GB2312" w:eastAsia="仿宋_GB2312"/>
          <w:sz w:val="32"/>
          <w:szCs w:val="32"/>
        </w:rPr>
        <w:t>29.90</w:t>
      </w:r>
      <w:r>
        <w:rPr>
          <w:rFonts w:hint="eastAsia" w:ascii="仿宋_GB2312" w:eastAsia="仿宋_GB2312"/>
          <w:sz w:val="32"/>
          <w:szCs w:val="32"/>
        </w:rPr>
        <w:t>亿元已支出29.12亿元。</w:t>
      </w:r>
    </w:p>
    <w:p>
      <w:pPr>
        <w:rPr>
          <w:rFonts w:ascii="仿宋_GB2312" w:eastAsia="仿宋_GB2312"/>
          <w:sz w:val="32"/>
          <w:szCs w:val="32"/>
        </w:rPr>
      </w:pPr>
      <w:r>
        <w:rPr>
          <w:rFonts w:hint="eastAsia" w:ascii="仿宋_GB2312" w:eastAsia="仿宋_GB2312"/>
          <w:sz w:val="32"/>
          <w:szCs w:val="32"/>
        </w:rPr>
        <w:t xml:space="preserve">    非财政拨款结转和结余中，事业收入历年滚存结转和结余</w:t>
      </w:r>
      <w:r>
        <w:rPr>
          <w:rFonts w:ascii="仿宋_GB2312" w:eastAsia="仿宋_GB2312"/>
          <w:sz w:val="32"/>
          <w:szCs w:val="32"/>
        </w:rPr>
        <w:t>6.92</w:t>
      </w:r>
      <w:r>
        <w:rPr>
          <w:rFonts w:hint="eastAsia" w:ascii="仿宋_GB2312" w:eastAsia="仿宋_GB2312"/>
          <w:sz w:val="32"/>
          <w:szCs w:val="32"/>
        </w:rPr>
        <w:t>亿元；科研收入等历年滚存结转和结余5.61亿元，有些项目完成期在2012年以后。</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sectPr>
          <w:pgSz w:w="16838" w:h="11906" w:orient="landscape"/>
          <w:pgMar w:top="1797" w:right="1440" w:bottom="1797" w:left="1440" w:header="851" w:footer="992" w:gutter="0"/>
          <w:cols w:space="425" w:num="1"/>
          <w:docGrid w:type="lines" w:linePitch="312" w:charSpace="0"/>
        </w:sectPr>
      </w:pPr>
    </w:p>
    <w:p>
      <w:pPr>
        <w:jc w:val="center"/>
        <w:rPr>
          <w:rFonts w:hint="eastAsia" w:ascii="仿宋_GB2312" w:eastAsia="仿宋_GB2312"/>
          <w:b/>
          <w:sz w:val="32"/>
          <w:szCs w:val="32"/>
        </w:rPr>
      </w:pPr>
      <w:r>
        <w:rPr>
          <w:rFonts w:hint="eastAsia" w:ascii="仿宋_GB2312" w:eastAsia="仿宋_GB2312"/>
          <w:b/>
          <w:sz w:val="32"/>
          <w:szCs w:val="32"/>
        </w:rPr>
        <w:t>北京市教育委员会2012年度“三公经费”财政拨款支出决算表及说明</w:t>
      </w:r>
    </w:p>
    <w:p>
      <w:pPr>
        <w:jc w:val="right"/>
        <w:rPr>
          <w:rFonts w:hint="eastAsia" w:ascii="仿宋_GB2312" w:eastAsia="仿宋_GB2312"/>
          <w:sz w:val="32"/>
          <w:szCs w:val="32"/>
        </w:rPr>
      </w:pPr>
      <w:r>
        <w:rPr>
          <w:rFonts w:hint="eastAsia" w:ascii="仿宋_GB2312" w:eastAsia="仿宋_GB2312"/>
          <w:sz w:val="32"/>
          <w:szCs w:val="32"/>
        </w:rPr>
        <w:t>单位：万元</w:t>
      </w:r>
    </w:p>
    <w:p>
      <w:pP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59264" behindDoc="1" locked="0" layoutInCell="1" allowOverlap="1">
                <wp:simplePos x="0" y="0"/>
                <wp:positionH relativeFrom="page">
                  <wp:posOffset>800100</wp:posOffset>
                </wp:positionH>
                <wp:positionV relativeFrom="page">
                  <wp:posOffset>1933575</wp:posOffset>
                </wp:positionV>
                <wp:extent cx="9029700" cy="10356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029700" cy="1035685"/>
                        </a:xfrm>
                        <a:prstGeom prst="rect">
                          <a:avLst/>
                        </a:prstGeom>
                        <a:noFill/>
                        <a:ln>
                          <a:noFill/>
                        </a:ln>
                      </wps:spPr>
                      <wps:txbx>
                        <w:txbxContent>
                          <w:tbl>
                            <w:tblPr>
                              <w:tblStyle w:val="2"/>
                              <w:tblW w:w="0" w:type="auto"/>
                              <w:tblInd w:w="0" w:type="dxa"/>
                              <w:tblLayout w:type="fixed"/>
                              <w:tblCellMar>
                                <w:top w:w="0" w:type="dxa"/>
                                <w:left w:w="0" w:type="dxa"/>
                                <w:bottom w:w="0" w:type="dxa"/>
                                <w:right w:w="0" w:type="dxa"/>
                              </w:tblCellMar>
                            </w:tblPr>
                            <w:tblGrid>
                              <w:gridCol w:w="1800"/>
                              <w:gridCol w:w="3056"/>
                              <w:gridCol w:w="1984"/>
                              <w:gridCol w:w="2160"/>
                              <w:gridCol w:w="2520"/>
                              <w:gridCol w:w="2340"/>
                            </w:tblGrid>
                            <w:tr>
                              <w:tblPrEx>
                                <w:tblCellMar>
                                  <w:top w:w="0" w:type="dxa"/>
                                  <w:left w:w="0" w:type="dxa"/>
                                  <w:bottom w:w="0" w:type="dxa"/>
                                  <w:right w:w="0" w:type="dxa"/>
                                </w:tblCellMar>
                              </w:tblPrEx>
                              <w:trPr>
                                <w:trHeight w:val="1101" w:hRule="exact"/>
                              </w:trPr>
                              <w:tc>
                                <w:tcPr>
                                  <w:tcW w:w="180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500" w:lineRule="exact"/>
                                    <w:ind w:left="974"/>
                                    <w:jc w:val="center"/>
                                    <w:rPr>
                                      <w:rFonts w:ascii="宋体" w:hAnsi="宋体" w:cs="华文仿宋"/>
                                      <w:color w:val="231F20"/>
                                      <w:kern w:val="0"/>
                                      <w:sz w:val="28"/>
                                      <w:szCs w:val="28"/>
                                    </w:rPr>
                                  </w:pPr>
                                </w:p>
                              </w:tc>
                              <w:tc>
                                <w:tcPr>
                                  <w:tcW w:w="3056"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56" w:lineRule="exact"/>
                                    <w:ind w:left="134"/>
                                    <w:jc w:val="center"/>
                                    <w:rPr>
                                      <w:rFonts w:ascii="宋体" w:hAnsi="宋体" w:cs="华文仿宋"/>
                                      <w:color w:val="231F20"/>
                                      <w:kern w:val="0"/>
                                      <w:sz w:val="28"/>
                                      <w:szCs w:val="28"/>
                                    </w:rPr>
                                  </w:pPr>
                                  <w:r>
                                    <w:rPr>
                                      <w:rFonts w:hint="eastAsia" w:ascii="宋体" w:hAnsi="宋体" w:cs="华文仿宋"/>
                                      <w:color w:val="231F20"/>
                                      <w:kern w:val="0"/>
                                      <w:sz w:val="28"/>
                                      <w:szCs w:val="28"/>
                                    </w:rPr>
                                    <w:t>“三公经费</w:t>
                                  </w:r>
                                  <w:r>
                                    <w:rPr>
                                      <w:rFonts w:hint="eastAsia" w:ascii="宋体" w:hAnsi="宋体" w:cs="华文仿宋"/>
                                      <w:kern w:val="0"/>
                                      <w:sz w:val="28"/>
                                      <w:szCs w:val="28"/>
                                    </w:rPr>
                                    <w:t>”</w:t>
                                  </w:r>
                                  <w:r>
                                    <w:rPr>
                                      <w:rFonts w:hint="eastAsia" w:ascii="宋体" w:hAnsi="宋体" w:cs="华文仿宋"/>
                                      <w:color w:val="231F20"/>
                                      <w:kern w:val="0"/>
                                      <w:sz w:val="28"/>
                                      <w:szCs w:val="28"/>
                                    </w:rPr>
                                    <w:t>财政拨</w:t>
                                  </w:r>
                                </w:p>
                                <w:p>
                                  <w:pPr>
                                    <w:autoSpaceDE w:val="0"/>
                                    <w:autoSpaceDN w:val="0"/>
                                    <w:adjustRightInd w:val="0"/>
                                    <w:spacing w:line="288" w:lineRule="exact"/>
                                    <w:ind w:left="614"/>
                                    <w:jc w:val="center"/>
                                    <w:rPr>
                                      <w:rFonts w:ascii="宋体" w:hAnsi="宋体" w:cs="华文仿宋"/>
                                      <w:color w:val="231F20"/>
                                      <w:kern w:val="0"/>
                                      <w:sz w:val="28"/>
                                      <w:szCs w:val="28"/>
                                    </w:rPr>
                                  </w:pPr>
                                  <w:r>
                                    <w:rPr>
                                      <w:rFonts w:hint="eastAsia" w:ascii="宋体" w:hAnsi="宋体" w:cs="华文仿宋"/>
                                      <w:color w:val="231F20"/>
                                      <w:kern w:val="0"/>
                                      <w:sz w:val="28"/>
                                      <w:szCs w:val="28"/>
                                    </w:rPr>
                                    <w:t>款决算合计</w:t>
                                  </w:r>
                                </w:p>
                              </w:tc>
                              <w:tc>
                                <w:tcPr>
                                  <w:tcW w:w="1984"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500" w:lineRule="exact"/>
                                    <w:ind w:left="134"/>
                                    <w:jc w:val="center"/>
                                    <w:rPr>
                                      <w:rFonts w:ascii="宋体" w:hAnsi="宋体" w:cs="华文仿宋"/>
                                      <w:color w:val="231F20"/>
                                      <w:kern w:val="0"/>
                                      <w:sz w:val="28"/>
                                      <w:szCs w:val="28"/>
                                    </w:rPr>
                                  </w:pPr>
                                  <w:r>
                                    <w:rPr>
                                      <w:rFonts w:hint="eastAsia" w:ascii="宋体" w:hAnsi="宋体" w:cs="华文仿宋"/>
                                      <w:color w:val="231F20"/>
                                      <w:kern w:val="0"/>
                                      <w:sz w:val="28"/>
                                      <w:szCs w:val="28"/>
                                    </w:rPr>
                                    <w:t>因公出国（境）费用</w:t>
                                  </w:r>
                                </w:p>
                              </w:tc>
                              <w:tc>
                                <w:tcPr>
                                  <w:tcW w:w="216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500" w:lineRule="exact"/>
                                    <w:ind w:left="614"/>
                                    <w:jc w:val="center"/>
                                    <w:rPr>
                                      <w:rFonts w:ascii="宋体" w:hAnsi="宋体" w:cs="华文仿宋"/>
                                      <w:color w:val="231F20"/>
                                      <w:kern w:val="0"/>
                                      <w:sz w:val="28"/>
                                      <w:szCs w:val="28"/>
                                    </w:rPr>
                                  </w:pPr>
                                  <w:r>
                                    <w:rPr>
                                      <w:rFonts w:hint="eastAsia" w:ascii="宋体" w:hAnsi="宋体" w:cs="华文仿宋"/>
                                      <w:color w:val="231F20"/>
                                      <w:kern w:val="0"/>
                                      <w:sz w:val="28"/>
                                      <w:szCs w:val="28"/>
                                    </w:rPr>
                                    <w:t>公务接待费</w:t>
                                  </w:r>
                                </w:p>
                              </w:tc>
                              <w:tc>
                                <w:tcPr>
                                  <w:tcW w:w="252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374"/>
                                    <w:jc w:val="center"/>
                                    <w:rPr>
                                      <w:rFonts w:ascii="宋体" w:hAnsi="宋体" w:cs="华文仿宋"/>
                                      <w:color w:val="231F20"/>
                                      <w:kern w:val="0"/>
                                      <w:sz w:val="28"/>
                                      <w:szCs w:val="28"/>
                                    </w:rPr>
                                  </w:pPr>
                                  <w:r>
                                    <w:rPr>
                                      <w:rFonts w:hint="eastAsia" w:ascii="宋体" w:hAnsi="宋体" w:cs="华文仿宋"/>
                                      <w:color w:val="231F20"/>
                                      <w:kern w:val="0"/>
                                      <w:sz w:val="28"/>
                                      <w:szCs w:val="28"/>
                                    </w:rPr>
                                    <w:t>公务用车购置费</w:t>
                                  </w:r>
                                </w:p>
                              </w:tc>
                              <w:tc>
                                <w:tcPr>
                                  <w:tcW w:w="234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134"/>
                                    <w:jc w:val="center"/>
                                    <w:rPr>
                                      <w:rFonts w:ascii="宋体" w:hAnsi="宋体" w:cs="华文仿宋"/>
                                      <w:color w:val="231F20"/>
                                      <w:kern w:val="0"/>
                                      <w:sz w:val="28"/>
                                      <w:szCs w:val="28"/>
                                    </w:rPr>
                                  </w:pPr>
                                  <w:r>
                                    <w:rPr>
                                      <w:rFonts w:hint="eastAsia" w:ascii="宋体" w:hAnsi="宋体" w:cs="华文仿宋"/>
                                      <w:color w:val="231F20"/>
                                      <w:kern w:val="0"/>
                                      <w:sz w:val="28"/>
                                      <w:szCs w:val="28"/>
                                    </w:rPr>
                                    <w:t>公务用车运行维护费</w:t>
                                  </w:r>
                                </w:p>
                              </w:tc>
                            </w:tr>
                            <w:tr>
                              <w:tblPrEx>
                                <w:tblCellMar>
                                  <w:top w:w="0" w:type="dxa"/>
                                  <w:left w:w="0" w:type="dxa"/>
                                  <w:bottom w:w="0" w:type="dxa"/>
                                  <w:right w:w="0" w:type="dxa"/>
                                </w:tblCellMar>
                              </w:tblPrEx>
                              <w:trPr>
                                <w:trHeight w:val="808" w:hRule="exact"/>
                              </w:trPr>
                              <w:tc>
                                <w:tcPr>
                                  <w:tcW w:w="180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838"/>
                                    <w:jc w:val="center"/>
                                    <w:rPr>
                                      <w:rFonts w:ascii="宋体" w:hAnsi="宋体" w:cs="华文仿宋"/>
                                      <w:color w:val="231F20"/>
                                      <w:kern w:val="0"/>
                                      <w:sz w:val="28"/>
                                      <w:szCs w:val="28"/>
                                    </w:rPr>
                                  </w:pPr>
                                  <w:r>
                                    <w:rPr>
                                      <w:rFonts w:ascii="宋体" w:hAnsi="宋体" w:cs="华文仿宋"/>
                                      <w:color w:val="231F20"/>
                                      <w:kern w:val="0"/>
                                      <w:sz w:val="28"/>
                                      <w:szCs w:val="28"/>
                                    </w:rPr>
                                    <w:t>2012</w:t>
                                  </w:r>
                                  <w:r>
                                    <w:rPr>
                                      <w:rFonts w:hint="eastAsia" w:ascii="宋体" w:hAnsi="宋体" w:cs="华文仿宋"/>
                                      <w:color w:val="231F20"/>
                                      <w:kern w:val="0"/>
                                      <w:sz w:val="28"/>
                                      <w:szCs w:val="28"/>
                                    </w:rPr>
                                    <w:t>年</w:t>
                                  </w:r>
                                </w:p>
                              </w:tc>
                              <w:tc>
                                <w:tcPr>
                                  <w:tcW w:w="3056"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823"/>
                                    <w:jc w:val="center"/>
                                    <w:rPr>
                                      <w:rFonts w:hint="eastAsia" w:ascii="宋体" w:hAnsi="宋体" w:cs="华文仿宋"/>
                                      <w:color w:val="231F20"/>
                                      <w:kern w:val="0"/>
                                      <w:sz w:val="28"/>
                                      <w:szCs w:val="28"/>
                                    </w:rPr>
                                  </w:pPr>
                                  <w:r>
                                    <w:rPr>
                                      <w:rFonts w:hint="eastAsia" w:ascii="宋体" w:hAnsi="宋体" w:cs="华文仿宋"/>
                                      <w:color w:val="231F20"/>
                                      <w:kern w:val="0"/>
                                      <w:sz w:val="28"/>
                                      <w:szCs w:val="28"/>
                                    </w:rPr>
                                    <w:t>8</w:t>
                                  </w:r>
                                  <w:r>
                                    <w:rPr>
                                      <w:rFonts w:ascii="宋体" w:hAnsi="宋体" w:cs="华文仿宋"/>
                                      <w:color w:val="231F20"/>
                                      <w:kern w:val="0"/>
                                      <w:sz w:val="28"/>
                                      <w:szCs w:val="28"/>
                                    </w:rPr>
                                    <w:t>,</w:t>
                                  </w:r>
                                  <w:r>
                                    <w:rPr>
                                      <w:rFonts w:hint="eastAsia" w:ascii="宋体" w:hAnsi="宋体" w:cs="华文仿宋"/>
                                      <w:color w:val="231F20"/>
                                      <w:kern w:val="0"/>
                                      <w:sz w:val="28"/>
                                      <w:szCs w:val="28"/>
                                    </w:rPr>
                                    <w:t>818.79</w:t>
                                  </w:r>
                                </w:p>
                              </w:tc>
                              <w:tc>
                                <w:tcPr>
                                  <w:tcW w:w="1984"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823"/>
                                    <w:jc w:val="center"/>
                                    <w:rPr>
                                      <w:rFonts w:ascii="宋体" w:hAnsi="宋体" w:cs="华文仿宋"/>
                                      <w:color w:val="231F20"/>
                                      <w:kern w:val="0"/>
                                      <w:sz w:val="28"/>
                                      <w:szCs w:val="28"/>
                                    </w:rPr>
                                  </w:pPr>
                                  <w:r>
                                    <w:rPr>
                                      <w:rFonts w:ascii="宋体" w:hAnsi="宋体" w:cs="华文仿宋"/>
                                      <w:color w:val="231F20"/>
                                      <w:kern w:val="0"/>
                                      <w:sz w:val="28"/>
                                      <w:szCs w:val="28"/>
                                    </w:rPr>
                                    <w:t>3,611.41</w:t>
                                  </w:r>
                                </w:p>
                              </w:tc>
                              <w:tc>
                                <w:tcPr>
                                  <w:tcW w:w="216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823"/>
                                    <w:jc w:val="center"/>
                                    <w:rPr>
                                      <w:rFonts w:ascii="宋体" w:hAnsi="宋体" w:cs="华文仿宋"/>
                                      <w:color w:val="231F20"/>
                                      <w:kern w:val="0"/>
                                      <w:sz w:val="28"/>
                                      <w:szCs w:val="28"/>
                                    </w:rPr>
                                  </w:pPr>
                                  <w:r>
                                    <w:rPr>
                                      <w:rFonts w:ascii="宋体" w:hAnsi="宋体" w:cs="华文仿宋"/>
                                      <w:color w:val="231F20"/>
                                      <w:kern w:val="0"/>
                                      <w:sz w:val="28"/>
                                      <w:szCs w:val="28"/>
                                    </w:rPr>
                                    <w:t>1,249.26</w:t>
                                  </w:r>
                                </w:p>
                              </w:tc>
                              <w:tc>
                                <w:tcPr>
                                  <w:tcW w:w="252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906"/>
                                    <w:jc w:val="center"/>
                                    <w:rPr>
                                      <w:rFonts w:hint="eastAsia" w:ascii="宋体" w:hAnsi="宋体" w:cs="华文仿宋"/>
                                      <w:color w:val="231F20"/>
                                      <w:kern w:val="0"/>
                                      <w:sz w:val="28"/>
                                      <w:szCs w:val="28"/>
                                    </w:rPr>
                                  </w:pPr>
                                  <w:r>
                                    <w:rPr>
                                      <w:rFonts w:hint="eastAsia" w:ascii="宋体" w:hAnsi="宋体" w:cs="华文仿宋"/>
                                      <w:color w:val="231F20"/>
                                      <w:kern w:val="0"/>
                                      <w:sz w:val="28"/>
                                      <w:szCs w:val="28"/>
                                    </w:rPr>
                                    <w:t>699.27</w:t>
                                  </w:r>
                                </w:p>
                              </w:tc>
                              <w:tc>
                                <w:tcPr>
                                  <w:tcW w:w="234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823"/>
                                    <w:jc w:val="center"/>
                                    <w:rPr>
                                      <w:rFonts w:ascii="宋体" w:hAnsi="宋体" w:cs="华文仿宋"/>
                                      <w:color w:val="231F20"/>
                                      <w:kern w:val="0"/>
                                      <w:sz w:val="28"/>
                                      <w:szCs w:val="28"/>
                                    </w:rPr>
                                  </w:pPr>
                                  <w:r>
                                    <w:rPr>
                                      <w:rFonts w:ascii="宋体" w:hAnsi="宋体" w:cs="华文仿宋"/>
                                      <w:color w:val="231F20"/>
                                      <w:kern w:val="0"/>
                                      <w:sz w:val="28"/>
                                      <w:szCs w:val="28"/>
                                    </w:rPr>
                                    <w:t>3,258.85</w:t>
                                  </w:r>
                                </w:p>
                              </w:tc>
                            </w:tr>
                          </w:tbl>
                          <w:p/>
                        </w:txbxContent>
                      </wps:txbx>
                      <wps:bodyPr lIns="0" tIns="0" rIns="0" bIns="0" upright="1"/>
                    </wps:wsp>
                  </a:graphicData>
                </a:graphic>
              </wp:anchor>
            </w:drawing>
          </mc:Choice>
          <mc:Fallback>
            <w:pict>
              <v:shape id="_x0000_s1026" o:spid="_x0000_s1026" o:spt="202" type="#_x0000_t202" style="position:absolute;left:0pt;margin-left:63pt;margin-top:152.25pt;height:81.55pt;width:711pt;mso-position-horizontal-relative:page;mso-position-vertical-relative:page;z-index:-251657216;mso-width-relative:page;mso-height-relative:page;" filled="f" stroked="f" coordsize="21600,21600" o:gfxdata="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BVjRN2gAAAAwBAAAPAAAAAAAAAAEAIAAAACIAAABkcnMvZG93bnJldi54bWxQ&#10;SwECFAAUAAAACACHTuJAjcB9crwBAABzAwAADgAAAAAAAAABACAAAAApAQAAZHJzL2Uyb0RvYy54&#10;bWxQSwUGAAAAAAYABgBZAQAAVwUAAAAA&#10;">
                <v:fill on="f" focussize="0,0"/>
                <v:stroke on="f"/>
                <v:imagedata o:title=""/>
                <o:lock v:ext="edit" aspectratio="f"/>
                <v:textbox inset="0mm,0mm,0mm,0mm">
                  <w:txbxContent>
                    <w:tbl>
                      <w:tblPr>
                        <w:tblStyle w:val="2"/>
                        <w:tblW w:w="0" w:type="auto"/>
                        <w:tblInd w:w="0" w:type="dxa"/>
                        <w:tblLayout w:type="fixed"/>
                        <w:tblCellMar>
                          <w:top w:w="0" w:type="dxa"/>
                          <w:left w:w="0" w:type="dxa"/>
                          <w:bottom w:w="0" w:type="dxa"/>
                          <w:right w:w="0" w:type="dxa"/>
                        </w:tblCellMar>
                      </w:tblPr>
                      <w:tblGrid>
                        <w:gridCol w:w="1800"/>
                        <w:gridCol w:w="3056"/>
                        <w:gridCol w:w="1984"/>
                        <w:gridCol w:w="2160"/>
                        <w:gridCol w:w="2520"/>
                        <w:gridCol w:w="2340"/>
                      </w:tblGrid>
                      <w:tr>
                        <w:tblPrEx>
                          <w:tblCellMar>
                            <w:top w:w="0" w:type="dxa"/>
                            <w:left w:w="0" w:type="dxa"/>
                            <w:bottom w:w="0" w:type="dxa"/>
                            <w:right w:w="0" w:type="dxa"/>
                          </w:tblCellMar>
                        </w:tblPrEx>
                        <w:trPr>
                          <w:trHeight w:val="1101" w:hRule="exact"/>
                        </w:trPr>
                        <w:tc>
                          <w:tcPr>
                            <w:tcW w:w="180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500" w:lineRule="exact"/>
                              <w:ind w:left="974"/>
                              <w:jc w:val="center"/>
                              <w:rPr>
                                <w:rFonts w:ascii="宋体" w:hAnsi="宋体" w:cs="华文仿宋"/>
                                <w:color w:val="231F20"/>
                                <w:kern w:val="0"/>
                                <w:sz w:val="28"/>
                                <w:szCs w:val="28"/>
                              </w:rPr>
                            </w:pPr>
                          </w:p>
                        </w:tc>
                        <w:tc>
                          <w:tcPr>
                            <w:tcW w:w="3056"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56" w:lineRule="exact"/>
                              <w:ind w:left="134"/>
                              <w:jc w:val="center"/>
                              <w:rPr>
                                <w:rFonts w:ascii="宋体" w:hAnsi="宋体" w:cs="华文仿宋"/>
                                <w:color w:val="231F20"/>
                                <w:kern w:val="0"/>
                                <w:sz w:val="28"/>
                                <w:szCs w:val="28"/>
                              </w:rPr>
                            </w:pPr>
                            <w:r>
                              <w:rPr>
                                <w:rFonts w:hint="eastAsia" w:ascii="宋体" w:hAnsi="宋体" w:cs="华文仿宋"/>
                                <w:color w:val="231F20"/>
                                <w:kern w:val="0"/>
                                <w:sz w:val="28"/>
                                <w:szCs w:val="28"/>
                              </w:rPr>
                              <w:t>“三公经费</w:t>
                            </w:r>
                            <w:r>
                              <w:rPr>
                                <w:rFonts w:hint="eastAsia" w:ascii="宋体" w:hAnsi="宋体" w:cs="华文仿宋"/>
                                <w:kern w:val="0"/>
                                <w:sz w:val="28"/>
                                <w:szCs w:val="28"/>
                              </w:rPr>
                              <w:t>”</w:t>
                            </w:r>
                            <w:r>
                              <w:rPr>
                                <w:rFonts w:hint="eastAsia" w:ascii="宋体" w:hAnsi="宋体" w:cs="华文仿宋"/>
                                <w:color w:val="231F20"/>
                                <w:kern w:val="0"/>
                                <w:sz w:val="28"/>
                                <w:szCs w:val="28"/>
                              </w:rPr>
                              <w:t>财政拨</w:t>
                            </w:r>
                          </w:p>
                          <w:p>
                            <w:pPr>
                              <w:autoSpaceDE w:val="0"/>
                              <w:autoSpaceDN w:val="0"/>
                              <w:adjustRightInd w:val="0"/>
                              <w:spacing w:line="288" w:lineRule="exact"/>
                              <w:ind w:left="614"/>
                              <w:jc w:val="center"/>
                              <w:rPr>
                                <w:rFonts w:ascii="宋体" w:hAnsi="宋体" w:cs="华文仿宋"/>
                                <w:color w:val="231F20"/>
                                <w:kern w:val="0"/>
                                <w:sz w:val="28"/>
                                <w:szCs w:val="28"/>
                              </w:rPr>
                            </w:pPr>
                            <w:r>
                              <w:rPr>
                                <w:rFonts w:hint="eastAsia" w:ascii="宋体" w:hAnsi="宋体" w:cs="华文仿宋"/>
                                <w:color w:val="231F20"/>
                                <w:kern w:val="0"/>
                                <w:sz w:val="28"/>
                                <w:szCs w:val="28"/>
                              </w:rPr>
                              <w:t>款决算合计</w:t>
                            </w:r>
                          </w:p>
                        </w:tc>
                        <w:tc>
                          <w:tcPr>
                            <w:tcW w:w="1984"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500" w:lineRule="exact"/>
                              <w:ind w:left="134"/>
                              <w:jc w:val="center"/>
                              <w:rPr>
                                <w:rFonts w:ascii="宋体" w:hAnsi="宋体" w:cs="华文仿宋"/>
                                <w:color w:val="231F20"/>
                                <w:kern w:val="0"/>
                                <w:sz w:val="28"/>
                                <w:szCs w:val="28"/>
                              </w:rPr>
                            </w:pPr>
                            <w:r>
                              <w:rPr>
                                <w:rFonts w:hint="eastAsia" w:ascii="宋体" w:hAnsi="宋体" w:cs="华文仿宋"/>
                                <w:color w:val="231F20"/>
                                <w:kern w:val="0"/>
                                <w:sz w:val="28"/>
                                <w:szCs w:val="28"/>
                              </w:rPr>
                              <w:t>因公出国（境）费用</w:t>
                            </w:r>
                          </w:p>
                        </w:tc>
                        <w:tc>
                          <w:tcPr>
                            <w:tcW w:w="216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500" w:lineRule="exact"/>
                              <w:ind w:left="614"/>
                              <w:jc w:val="center"/>
                              <w:rPr>
                                <w:rFonts w:ascii="宋体" w:hAnsi="宋体" w:cs="华文仿宋"/>
                                <w:color w:val="231F20"/>
                                <w:kern w:val="0"/>
                                <w:sz w:val="28"/>
                                <w:szCs w:val="28"/>
                              </w:rPr>
                            </w:pPr>
                            <w:r>
                              <w:rPr>
                                <w:rFonts w:hint="eastAsia" w:ascii="宋体" w:hAnsi="宋体" w:cs="华文仿宋"/>
                                <w:color w:val="231F20"/>
                                <w:kern w:val="0"/>
                                <w:sz w:val="28"/>
                                <w:szCs w:val="28"/>
                              </w:rPr>
                              <w:t>公务接待费</w:t>
                            </w:r>
                          </w:p>
                        </w:tc>
                        <w:tc>
                          <w:tcPr>
                            <w:tcW w:w="252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374"/>
                              <w:jc w:val="center"/>
                              <w:rPr>
                                <w:rFonts w:ascii="宋体" w:hAnsi="宋体" w:cs="华文仿宋"/>
                                <w:color w:val="231F20"/>
                                <w:kern w:val="0"/>
                                <w:sz w:val="28"/>
                                <w:szCs w:val="28"/>
                              </w:rPr>
                            </w:pPr>
                            <w:r>
                              <w:rPr>
                                <w:rFonts w:hint="eastAsia" w:ascii="宋体" w:hAnsi="宋体" w:cs="华文仿宋"/>
                                <w:color w:val="231F20"/>
                                <w:kern w:val="0"/>
                                <w:sz w:val="28"/>
                                <w:szCs w:val="28"/>
                              </w:rPr>
                              <w:t>公务用车购置费</w:t>
                            </w:r>
                          </w:p>
                        </w:tc>
                        <w:tc>
                          <w:tcPr>
                            <w:tcW w:w="234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134"/>
                              <w:jc w:val="center"/>
                              <w:rPr>
                                <w:rFonts w:ascii="宋体" w:hAnsi="宋体" w:cs="华文仿宋"/>
                                <w:color w:val="231F20"/>
                                <w:kern w:val="0"/>
                                <w:sz w:val="28"/>
                                <w:szCs w:val="28"/>
                              </w:rPr>
                            </w:pPr>
                            <w:r>
                              <w:rPr>
                                <w:rFonts w:hint="eastAsia" w:ascii="宋体" w:hAnsi="宋体" w:cs="华文仿宋"/>
                                <w:color w:val="231F20"/>
                                <w:kern w:val="0"/>
                                <w:sz w:val="28"/>
                                <w:szCs w:val="28"/>
                              </w:rPr>
                              <w:t>公务用车运行维护费</w:t>
                            </w:r>
                          </w:p>
                        </w:tc>
                      </w:tr>
                      <w:tr>
                        <w:tblPrEx>
                          <w:tblCellMar>
                            <w:top w:w="0" w:type="dxa"/>
                            <w:left w:w="0" w:type="dxa"/>
                            <w:bottom w:w="0" w:type="dxa"/>
                            <w:right w:w="0" w:type="dxa"/>
                          </w:tblCellMar>
                        </w:tblPrEx>
                        <w:trPr>
                          <w:trHeight w:val="808" w:hRule="exact"/>
                        </w:trPr>
                        <w:tc>
                          <w:tcPr>
                            <w:tcW w:w="180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838"/>
                              <w:jc w:val="center"/>
                              <w:rPr>
                                <w:rFonts w:ascii="宋体" w:hAnsi="宋体" w:cs="华文仿宋"/>
                                <w:color w:val="231F20"/>
                                <w:kern w:val="0"/>
                                <w:sz w:val="28"/>
                                <w:szCs w:val="28"/>
                              </w:rPr>
                            </w:pPr>
                            <w:r>
                              <w:rPr>
                                <w:rFonts w:ascii="宋体" w:hAnsi="宋体" w:cs="华文仿宋"/>
                                <w:color w:val="231F20"/>
                                <w:kern w:val="0"/>
                                <w:sz w:val="28"/>
                                <w:szCs w:val="28"/>
                              </w:rPr>
                              <w:t>2012</w:t>
                            </w:r>
                            <w:r>
                              <w:rPr>
                                <w:rFonts w:hint="eastAsia" w:ascii="宋体" w:hAnsi="宋体" w:cs="华文仿宋"/>
                                <w:color w:val="231F20"/>
                                <w:kern w:val="0"/>
                                <w:sz w:val="28"/>
                                <w:szCs w:val="28"/>
                              </w:rPr>
                              <w:t>年</w:t>
                            </w:r>
                          </w:p>
                        </w:tc>
                        <w:tc>
                          <w:tcPr>
                            <w:tcW w:w="3056"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823"/>
                              <w:jc w:val="center"/>
                              <w:rPr>
                                <w:rFonts w:hint="eastAsia" w:ascii="宋体" w:hAnsi="宋体" w:cs="华文仿宋"/>
                                <w:color w:val="231F20"/>
                                <w:kern w:val="0"/>
                                <w:sz w:val="28"/>
                                <w:szCs w:val="28"/>
                              </w:rPr>
                            </w:pPr>
                            <w:r>
                              <w:rPr>
                                <w:rFonts w:hint="eastAsia" w:ascii="宋体" w:hAnsi="宋体" w:cs="华文仿宋"/>
                                <w:color w:val="231F20"/>
                                <w:kern w:val="0"/>
                                <w:sz w:val="28"/>
                                <w:szCs w:val="28"/>
                              </w:rPr>
                              <w:t>8</w:t>
                            </w:r>
                            <w:r>
                              <w:rPr>
                                <w:rFonts w:ascii="宋体" w:hAnsi="宋体" w:cs="华文仿宋"/>
                                <w:color w:val="231F20"/>
                                <w:kern w:val="0"/>
                                <w:sz w:val="28"/>
                                <w:szCs w:val="28"/>
                              </w:rPr>
                              <w:t>,</w:t>
                            </w:r>
                            <w:r>
                              <w:rPr>
                                <w:rFonts w:hint="eastAsia" w:ascii="宋体" w:hAnsi="宋体" w:cs="华文仿宋"/>
                                <w:color w:val="231F20"/>
                                <w:kern w:val="0"/>
                                <w:sz w:val="28"/>
                                <w:szCs w:val="28"/>
                              </w:rPr>
                              <w:t>818.79</w:t>
                            </w:r>
                          </w:p>
                        </w:tc>
                        <w:tc>
                          <w:tcPr>
                            <w:tcW w:w="1984"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823"/>
                              <w:jc w:val="center"/>
                              <w:rPr>
                                <w:rFonts w:ascii="宋体" w:hAnsi="宋体" w:cs="华文仿宋"/>
                                <w:color w:val="231F20"/>
                                <w:kern w:val="0"/>
                                <w:sz w:val="28"/>
                                <w:szCs w:val="28"/>
                              </w:rPr>
                            </w:pPr>
                            <w:r>
                              <w:rPr>
                                <w:rFonts w:ascii="宋体" w:hAnsi="宋体" w:cs="华文仿宋"/>
                                <w:color w:val="231F20"/>
                                <w:kern w:val="0"/>
                                <w:sz w:val="28"/>
                                <w:szCs w:val="28"/>
                              </w:rPr>
                              <w:t>3,611.41</w:t>
                            </w:r>
                          </w:p>
                        </w:tc>
                        <w:tc>
                          <w:tcPr>
                            <w:tcW w:w="216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823"/>
                              <w:jc w:val="center"/>
                              <w:rPr>
                                <w:rFonts w:ascii="宋体" w:hAnsi="宋体" w:cs="华文仿宋"/>
                                <w:color w:val="231F20"/>
                                <w:kern w:val="0"/>
                                <w:sz w:val="28"/>
                                <w:szCs w:val="28"/>
                              </w:rPr>
                            </w:pPr>
                            <w:r>
                              <w:rPr>
                                <w:rFonts w:ascii="宋体" w:hAnsi="宋体" w:cs="华文仿宋"/>
                                <w:color w:val="231F20"/>
                                <w:kern w:val="0"/>
                                <w:sz w:val="28"/>
                                <w:szCs w:val="28"/>
                              </w:rPr>
                              <w:t>1,249.26</w:t>
                            </w:r>
                          </w:p>
                        </w:tc>
                        <w:tc>
                          <w:tcPr>
                            <w:tcW w:w="252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906"/>
                              <w:jc w:val="center"/>
                              <w:rPr>
                                <w:rFonts w:hint="eastAsia" w:ascii="宋体" w:hAnsi="宋体" w:cs="华文仿宋"/>
                                <w:color w:val="231F20"/>
                                <w:kern w:val="0"/>
                                <w:sz w:val="28"/>
                                <w:szCs w:val="28"/>
                              </w:rPr>
                            </w:pPr>
                            <w:r>
                              <w:rPr>
                                <w:rFonts w:hint="eastAsia" w:ascii="宋体" w:hAnsi="宋体" w:cs="华文仿宋"/>
                                <w:color w:val="231F20"/>
                                <w:kern w:val="0"/>
                                <w:sz w:val="28"/>
                                <w:szCs w:val="28"/>
                              </w:rPr>
                              <w:t>699.27</w:t>
                            </w:r>
                          </w:p>
                        </w:tc>
                        <w:tc>
                          <w:tcPr>
                            <w:tcW w:w="2340" w:type="dxa"/>
                            <w:tcBorders>
                              <w:top w:val="single" w:color="231F20" w:sz="4" w:space="0"/>
                              <w:left w:val="single" w:color="231F20" w:sz="4" w:space="0"/>
                              <w:bottom w:val="single" w:color="231F20" w:sz="4" w:space="0"/>
                              <w:right w:val="single" w:color="231F20" w:sz="4" w:space="0"/>
                            </w:tcBorders>
                            <w:shd w:val="clear" w:color="auto" w:fill="FFFFFF"/>
                            <w:noWrap w:val="0"/>
                            <w:vAlign w:val="center"/>
                          </w:tcPr>
                          <w:p>
                            <w:pPr>
                              <w:autoSpaceDE w:val="0"/>
                              <w:autoSpaceDN w:val="0"/>
                              <w:adjustRightInd w:val="0"/>
                              <w:spacing w:line="324" w:lineRule="exact"/>
                              <w:ind w:left="823"/>
                              <w:jc w:val="center"/>
                              <w:rPr>
                                <w:rFonts w:ascii="宋体" w:hAnsi="宋体" w:cs="华文仿宋"/>
                                <w:color w:val="231F20"/>
                                <w:kern w:val="0"/>
                                <w:sz w:val="28"/>
                                <w:szCs w:val="28"/>
                              </w:rPr>
                            </w:pPr>
                            <w:r>
                              <w:rPr>
                                <w:rFonts w:ascii="宋体" w:hAnsi="宋体" w:cs="华文仿宋"/>
                                <w:color w:val="231F20"/>
                                <w:kern w:val="0"/>
                                <w:sz w:val="28"/>
                                <w:szCs w:val="28"/>
                              </w:rPr>
                              <w:t>3,258.85</w:t>
                            </w:r>
                          </w:p>
                        </w:tc>
                      </w:tr>
                    </w:tbl>
                    <w:p/>
                  </w:txbxContent>
                </v:textbox>
              </v:shape>
            </w:pict>
          </mc:Fallback>
        </mc:AlternateConten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注：“三公经费”财政拨款决算数，反映本部门使用当年财政拨款实际支出数和使用上年结余结转</w:t>
      </w:r>
    </w:p>
    <w:p>
      <w:pPr>
        <w:rPr>
          <w:rFonts w:hint="eastAsia" w:ascii="仿宋_GB2312" w:eastAsia="仿宋_GB2312"/>
          <w:sz w:val="32"/>
          <w:szCs w:val="32"/>
        </w:rPr>
      </w:pPr>
      <w:r>
        <w:rPr>
          <w:rFonts w:hint="eastAsia" w:ascii="仿宋_GB2312" w:eastAsia="仿宋_GB2312"/>
          <w:sz w:val="32"/>
          <w:szCs w:val="32"/>
        </w:rPr>
        <w:t>资金实际支出数（包含公共财政预算拨款和政府性基金预算拨款）。</w:t>
      </w:r>
    </w:p>
    <w:p>
      <w:pPr>
        <w:rPr>
          <w:rFonts w:hint="eastAsia" w:ascii="仿宋_GB2312" w:eastAsia="仿宋_GB2312"/>
          <w:sz w:val="32"/>
          <w:szCs w:val="32"/>
        </w:rPr>
      </w:pPr>
    </w:p>
    <w:p>
      <w:pPr>
        <w:ind w:firstLine="627" w:firstLineChars="196"/>
        <w:rPr>
          <w:rFonts w:hint="eastAsia" w:ascii="仿宋_GB2312" w:eastAsia="仿宋_GB2312"/>
          <w:b/>
          <w:sz w:val="32"/>
          <w:szCs w:val="32"/>
        </w:rPr>
      </w:pPr>
      <w:r>
        <w:rPr>
          <w:rFonts w:hint="eastAsia" w:ascii="仿宋_GB2312" w:eastAsia="仿宋_GB2312"/>
          <w:b/>
          <w:sz w:val="32"/>
          <w:szCs w:val="32"/>
        </w:rPr>
        <w:t>一、“三公经费”的单位范围</w:t>
      </w:r>
    </w:p>
    <w:p>
      <w:pPr>
        <w:ind w:firstLine="640" w:firstLineChars="200"/>
        <w:rPr>
          <w:rFonts w:hint="eastAsia" w:ascii="仿宋_GB2312" w:eastAsia="仿宋_GB2312"/>
          <w:sz w:val="32"/>
          <w:szCs w:val="32"/>
        </w:rPr>
      </w:pPr>
      <w:r>
        <w:rPr>
          <w:rFonts w:hint="eastAsia" w:ascii="仿宋_GB2312" w:eastAsia="仿宋_GB2312"/>
          <w:sz w:val="32"/>
          <w:szCs w:val="32"/>
        </w:rPr>
        <w:t>北京市教育委员会部门因公出国（境）费用、公务接待费、公务用车购置和公务用车运行维护费开支单位包括所属1个行政单位、56个全额拨款事业单位（普通高校20个，高等职业学校4个，中专学校12个，基础教育学校3个，特殊教育学校1个，直属单位16个），上述单位2012年底职工总数</w:t>
      </w:r>
      <w:r>
        <w:rPr>
          <w:rFonts w:ascii="仿宋_GB2312" w:eastAsia="仿宋_GB2312"/>
          <w:sz w:val="32"/>
          <w:szCs w:val="32"/>
        </w:rPr>
        <w:t>51225</w:t>
      </w:r>
      <w:r>
        <w:rPr>
          <w:rFonts w:hint="eastAsia" w:ascii="仿宋_GB2312" w:eastAsia="仿宋_GB2312"/>
          <w:sz w:val="32"/>
          <w:szCs w:val="32"/>
        </w:rPr>
        <w:t>人(其中：在职人员</w:t>
      </w:r>
      <w:r>
        <w:rPr>
          <w:rFonts w:ascii="仿宋_GB2312" w:eastAsia="仿宋_GB2312"/>
          <w:sz w:val="32"/>
          <w:szCs w:val="32"/>
        </w:rPr>
        <w:t>30124</w:t>
      </w:r>
      <w:r>
        <w:rPr>
          <w:rFonts w:hint="eastAsia" w:ascii="仿宋_GB2312" w:eastAsia="仿宋_GB2312"/>
          <w:sz w:val="32"/>
          <w:szCs w:val="32"/>
        </w:rPr>
        <w:t>人，离退休人员</w:t>
      </w:r>
      <w:r>
        <w:rPr>
          <w:rFonts w:ascii="仿宋_GB2312" w:eastAsia="仿宋_GB2312"/>
          <w:sz w:val="32"/>
          <w:szCs w:val="32"/>
        </w:rPr>
        <w:t>21101</w:t>
      </w:r>
      <w:r>
        <w:rPr>
          <w:rFonts w:hint="eastAsia" w:ascii="仿宋_GB2312" w:eastAsia="仿宋_GB2312"/>
          <w:sz w:val="32"/>
          <w:szCs w:val="32"/>
        </w:rPr>
        <w:t>人)，学生人数</w:t>
      </w:r>
      <w:r>
        <w:rPr>
          <w:rFonts w:ascii="仿宋_GB2312" w:eastAsia="仿宋_GB2312"/>
          <w:sz w:val="32"/>
          <w:szCs w:val="32"/>
        </w:rPr>
        <w:t>378831</w:t>
      </w:r>
      <w:r>
        <w:rPr>
          <w:rFonts w:hint="eastAsia" w:ascii="仿宋_GB2312" w:eastAsia="仿宋_GB2312"/>
          <w:sz w:val="32"/>
          <w:szCs w:val="32"/>
        </w:rPr>
        <w:t>人(其中：博士研究生</w:t>
      </w:r>
      <w:r>
        <w:rPr>
          <w:rFonts w:ascii="仿宋_GB2312" w:eastAsia="仿宋_GB2312"/>
          <w:sz w:val="32"/>
          <w:szCs w:val="32"/>
        </w:rPr>
        <w:t>2576</w:t>
      </w:r>
      <w:r>
        <w:rPr>
          <w:rFonts w:hint="eastAsia" w:ascii="仿宋_GB2312" w:eastAsia="仿宋_GB2312"/>
          <w:sz w:val="32"/>
          <w:szCs w:val="32"/>
        </w:rPr>
        <w:t>人，硕士研究生</w:t>
      </w:r>
      <w:r>
        <w:rPr>
          <w:rFonts w:ascii="仿宋_GB2312" w:eastAsia="仿宋_GB2312"/>
          <w:sz w:val="32"/>
          <w:szCs w:val="32"/>
        </w:rPr>
        <w:t>24637</w:t>
      </w:r>
      <w:r>
        <w:rPr>
          <w:rFonts w:hint="eastAsia" w:ascii="仿宋_GB2312" w:eastAsia="仿宋_GB2312"/>
          <w:sz w:val="32"/>
          <w:szCs w:val="32"/>
        </w:rPr>
        <w:t>人，普通本专科学生</w:t>
      </w:r>
      <w:r>
        <w:rPr>
          <w:rFonts w:ascii="仿宋_GB2312" w:eastAsia="仿宋_GB2312"/>
          <w:sz w:val="32"/>
          <w:szCs w:val="32"/>
        </w:rPr>
        <w:t>174549</w:t>
      </w:r>
      <w:r>
        <w:rPr>
          <w:rFonts w:hint="eastAsia" w:ascii="仿宋_GB2312" w:eastAsia="仿宋_GB2312"/>
          <w:sz w:val="32"/>
          <w:szCs w:val="32"/>
        </w:rPr>
        <w:t>人)。</w:t>
      </w:r>
    </w:p>
    <w:p>
      <w:pPr>
        <w:ind w:firstLine="640" w:firstLineChars="200"/>
        <w:rPr>
          <w:rFonts w:hint="eastAsia" w:ascii="仿宋_GB2312" w:eastAsia="仿宋_GB2312"/>
          <w:b/>
          <w:sz w:val="32"/>
          <w:szCs w:val="32"/>
        </w:rPr>
      </w:pPr>
      <w:r>
        <w:rPr>
          <w:rFonts w:hint="eastAsia" w:ascii="仿宋_GB2312" w:eastAsia="仿宋_GB2312"/>
          <w:b/>
          <w:sz w:val="32"/>
          <w:szCs w:val="32"/>
        </w:rPr>
        <w:t>二、“三公经费”支出口径</w:t>
      </w:r>
    </w:p>
    <w:p>
      <w:pPr>
        <w:ind w:firstLine="640" w:firstLineChars="200"/>
        <w:rPr>
          <w:rFonts w:hint="eastAsia" w:ascii="仿宋_GB2312" w:eastAsia="仿宋_GB2312"/>
          <w:sz w:val="32"/>
          <w:szCs w:val="32"/>
        </w:rPr>
      </w:pPr>
      <w:r>
        <w:rPr>
          <w:rFonts w:hint="eastAsia" w:ascii="仿宋_GB2312" w:eastAsia="仿宋_GB2312"/>
          <w:sz w:val="32"/>
          <w:szCs w:val="32"/>
        </w:rPr>
        <w:t>“三公经费”是指本部门通过财政拨款资金安排的因公出国（境）费、公务用车购置及运行费和公务接待费。其中，因公出国（境）费指单位工作人员公务出国（境）的住宿费、旅费、伙食补助费、培训费等支出；公务用车购置及运行费指单位公务用车购置费及租用费、燃料费、维修费、过路过桥费、保险费等支出；公务接待费指单位按规定开支的各类公务接待（含外宾接待）支出。</w:t>
      </w:r>
    </w:p>
    <w:p>
      <w:pPr>
        <w:ind w:firstLine="627" w:firstLineChars="196"/>
        <w:rPr>
          <w:rFonts w:hint="eastAsia" w:ascii="仿宋_GB2312" w:eastAsia="仿宋_GB2312"/>
          <w:b/>
          <w:sz w:val="32"/>
          <w:szCs w:val="32"/>
        </w:rPr>
      </w:pPr>
      <w:r>
        <w:rPr>
          <w:rFonts w:hint="eastAsia" w:ascii="仿宋_GB2312" w:eastAsia="仿宋_GB2312"/>
          <w:b/>
          <w:sz w:val="32"/>
          <w:szCs w:val="32"/>
        </w:rPr>
        <w:t>三、“三公经费”财政拨款决算情况说明</w:t>
      </w:r>
    </w:p>
    <w:p>
      <w:pPr>
        <w:ind w:firstLine="640" w:firstLineChars="200"/>
        <w:rPr>
          <w:rFonts w:hint="eastAsia" w:ascii="仿宋_GB2312" w:eastAsia="仿宋_GB2312"/>
          <w:sz w:val="32"/>
          <w:szCs w:val="32"/>
        </w:rPr>
      </w:pPr>
      <w:r>
        <w:rPr>
          <w:rFonts w:hint="eastAsia" w:ascii="仿宋_GB2312" w:eastAsia="仿宋_GB2312"/>
          <w:sz w:val="32"/>
          <w:szCs w:val="32"/>
        </w:rPr>
        <w:t>2012年“三公经费”财政拨款决算数</w:t>
      </w:r>
      <w:r>
        <w:rPr>
          <w:rFonts w:ascii="仿宋_GB2312" w:eastAsia="仿宋_GB2312"/>
          <w:sz w:val="32"/>
          <w:szCs w:val="32"/>
        </w:rPr>
        <w:t>8,818.79</w:t>
      </w:r>
      <w:r>
        <w:rPr>
          <w:rFonts w:hint="eastAsia" w:ascii="仿宋_GB2312" w:eastAsia="仿宋_GB2312"/>
          <w:sz w:val="32"/>
          <w:szCs w:val="32"/>
        </w:rPr>
        <w:t>万元，比2012年“三公经费”财政拨款年初预算10816.09万元减少1,997.3万元。其中：</w:t>
      </w:r>
    </w:p>
    <w:p>
      <w:pPr>
        <w:ind w:firstLine="640" w:firstLineChars="200"/>
        <w:rPr>
          <w:rFonts w:hint="eastAsia" w:ascii="仿宋_GB2312" w:eastAsia="仿宋_GB2312"/>
          <w:sz w:val="32"/>
          <w:szCs w:val="32"/>
        </w:rPr>
      </w:pPr>
      <w:r>
        <w:rPr>
          <w:rFonts w:hint="eastAsia" w:ascii="仿宋_GB2312" w:eastAsia="仿宋_GB2312"/>
          <w:sz w:val="32"/>
          <w:szCs w:val="32"/>
        </w:rPr>
        <w:t>（一）因公出国（境）费用。2012年决算数3,611.41万元，比2012年年初预算数4,886.61万元减少1,275.20万元，主要原因：一是落实中央、北京市的有关厉行节约的规定，压缩行政成本；二是由于学校教育教学工作安排，部分项目的出访计划推迟到2013年执行。2012年因公出国（境）费用主要用于教师的中短期培训、各类学术交流及国际学术会议、艺术院校的出国交流演出等方面。2012年组织因公出国（境）团组460个，当年因公出国（境）累计1,454人次，人均因公出国（境）费用2.48万元。</w:t>
      </w:r>
    </w:p>
    <w:p>
      <w:pPr>
        <w:ind w:firstLine="640" w:firstLineChars="200"/>
        <w:rPr>
          <w:rFonts w:hint="eastAsia" w:ascii="仿宋_GB2312" w:eastAsia="仿宋_GB2312"/>
          <w:sz w:val="32"/>
          <w:szCs w:val="32"/>
        </w:rPr>
      </w:pPr>
      <w:r>
        <w:rPr>
          <w:rFonts w:hint="eastAsia" w:ascii="仿宋_GB2312" w:eastAsia="仿宋_GB2312"/>
          <w:sz w:val="32"/>
          <w:szCs w:val="32"/>
        </w:rPr>
        <w:t>（二）公务接待费。2012年决算数1,249.26万元，比2012年年初预算数1,362.05万元减少112.79万元，主要原因是进一步落实中央、北京市的有关厉行节约、压缩财政成本等规定，加强管理，严格控制公务接待规模和标准。2012年公务接待费主要用于教学科研管理、学术交流等方面的公务接待、外宾接待。</w:t>
      </w:r>
    </w:p>
    <w:p>
      <w:pPr>
        <w:ind w:firstLine="640" w:firstLineChars="200"/>
        <w:rPr>
          <w:rFonts w:hint="eastAsia" w:ascii="仿宋_GB2312" w:eastAsia="仿宋_GB2312"/>
          <w:sz w:val="32"/>
          <w:szCs w:val="32"/>
        </w:rPr>
      </w:pPr>
      <w:r>
        <w:rPr>
          <w:rFonts w:hint="eastAsia" w:ascii="仿宋_GB2312" w:eastAsia="仿宋_GB2312"/>
          <w:sz w:val="32"/>
          <w:szCs w:val="32"/>
        </w:rPr>
        <w:t>（三）公务用车购置及运行维护费。2012年决算数3,958.12万元，比2012年年初预算数4,567.43万元减少609.31万元。其中，公务用车购置费2012年决算数699.27万元，比2012年年初预算数866.41万元减少167.14万元，主要原因是按照全市统一要求，在核定单位车辆编制的基础上，严格控制更新车辆的标准。2012年更新36辆，车均购置费19.42万元。公务用车运行维护费2012年决算数3,258.85万元，比2012年年初预算数3,701.02万元减少442.17万元。主要原因：一是加强管理，统筹安排车辆的运行维护费；二是已报废的车辆完成更新采购时间较晚，年度实际运行的车辆数少于年底实有车辆数，公务用车运行维护费有所降低。2012年实有公务用车1205辆，车均运行维护费2.70万元。</w:t>
      </w: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r>
        <w:rPr>
          <w:rFonts w:hint="eastAsia" w:ascii="仿宋_GB2312" w:eastAsia="仿宋_GB2312"/>
          <w:b/>
          <w:sz w:val="32"/>
          <w:szCs w:val="32"/>
        </w:rPr>
        <w:t>北京市教育委员会2012年度行政经费支出情况说明</w:t>
      </w:r>
    </w:p>
    <w:p>
      <w:pPr>
        <w:ind w:firstLine="627" w:firstLineChars="196"/>
        <w:rPr>
          <w:rFonts w:hint="eastAsia" w:ascii="仿宋_GB2312" w:eastAsia="仿宋_GB2312"/>
          <w:b/>
          <w:sz w:val="32"/>
          <w:szCs w:val="32"/>
        </w:rPr>
      </w:pPr>
      <w:r>
        <w:rPr>
          <w:rFonts w:hint="eastAsia" w:ascii="仿宋_GB2312" w:eastAsia="仿宋_GB2312"/>
          <w:b/>
          <w:sz w:val="32"/>
          <w:szCs w:val="32"/>
        </w:rPr>
        <w:t>一、行政经费支出情况</w:t>
      </w:r>
    </w:p>
    <w:p>
      <w:pPr>
        <w:ind w:firstLine="640" w:firstLineChars="200"/>
        <w:rPr>
          <w:rFonts w:hint="eastAsia" w:ascii="仿宋_GB2312" w:eastAsia="仿宋_GB2312"/>
          <w:sz w:val="32"/>
          <w:szCs w:val="32"/>
        </w:rPr>
      </w:pPr>
      <w:r>
        <w:rPr>
          <w:rFonts w:hint="eastAsia" w:ascii="仿宋_GB2312" w:eastAsia="仿宋_GB2312"/>
          <w:sz w:val="32"/>
          <w:szCs w:val="32"/>
        </w:rPr>
        <w:t>2012年本部门行政单位（含参照公务员法管理事业单位）履行一般行政管理职能、维持机关运行，用公共财政预算财政拨款开支的行政经费，合计4,812.15万元，比2011年增加777.92万元。主要原因是受全市统一调资政策和医疗保险制度改革影响，行政经费支出较上年有所增长。</w:t>
      </w:r>
    </w:p>
    <w:p>
      <w:pPr>
        <w:ind w:firstLine="627" w:firstLineChars="196"/>
        <w:rPr>
          <w:rFonts w:hint="eastAsia" w:ascii="仿宋_GB2312" w:eastAsia="仿宋_GB2312"/>
          <w:b/>
          <w:sz w:val="32"/>
          <w:szCs w:val="32"/>
        </w:rPr>
      </w:pPr>
      <w:r>
        <w:rPr>
          <w:rFonts w:hint="eastAsia" w:ascii="仿宋_GB2312" w:eastAsia="仿宋_GB2312"/>
          <w:b/>
          <w:sz w:val="32"/>
          <w:szCs w:val="32"/>
        </w:rPr>
        <w:t>二、行政经费支出口径</w:t>
      </w:r>
    </w:p>
    <w:p>
      <w:pPr>
        <w:ind w:firstLine="640" w:firstLineChars="200"/>
        <w:rPr>
          <w:rFonts w:hint="eastAsia" w:ascii="仿宋_GB2312" w:eastAsia="仿宋_GB2312"/>
          <w:sz w:val="32"/>
          <w:szCs w:val="32"/>
        </w:rPr>
      </w:pPr>
      <w:r>
        <w:rPr>
          <w:rFonts w:hint="eastAsia" w:ascii="仿宋_GB2312" w:eastAsia="仿宋_GB2312"/>
          <w:sz w:val="32"/>
          <w:szCs w:val="32"/>
        </w:rPr>
        <w:t>行政经费由基本支出和一般行政管理项目支出两部分组成：</w:t>
      </w:r>
    </w:p>
    <w:p>
      <w:pPr>
        <w:ind w:firstLine="640" w:firstLineChars="200"/>
        <w:rPr>
          <w:rFonts w:hint="eastAsia" w:ascii="仿宋_GB2312" w:eastAsia="仿宋_GB2312"/>
          <w:sz w:val="32"/>
          <w:szCs w:val="32"/>
        </w:rPr>
      </w:pPr>
      <w:r>
        <w:rPr>
          <w:rFonts w:hint="eastAsia" w:ascii="仿宋_GB2312" w:eastAsia="仿宋_GB2312"/>
          <w:sz w:val="32"/>
          <w:szCs w:val="32"/>
        </w:rPr>
        <w:t>（一）基本支出。包括两部分：一是人员经费，具体包括工资、津贴及奖金、医疗费、住房补贴等（不包括离退休支出，包括离退休人员管理机构的在职人员支出）；二是公用经费，具体包括办公及印刷费、水电费、邮电费、取暖费、交通费、差旅费、会议费、福利费、物业管理费、日常维修费、专用材料费、一般购置费等。</w:t>
      </w:r>
    </w:p>
    <w:p>
      <w:pPr>
        <w:ind w:firstLine="640" w:firstLineChars="200"/>
        <w:rPr>
          <w:rFonts w:hint="eastAsia" w:ascii="仿宋_GB2312" w:eastAsia="仿宋_GB2312"/>
          <w:sz w:val="32"/>
          <w:szCs w:val="32"/>
        </w:rPr>
      </w:pPr>
      <w:r>
        <w:rPr>
          <w:rFonts w:hint="eastAsia" w:ascii="仿宋_GB2312" w:eastAsia="仿宋_GB2312"/>
          <w:sz w:val="32"/>
          <w:szCs w:val="32"/>
        </w:rPr>
        <w:t>（二）一般行政管理项目支出。包括出国费、招待费、会议费、办公用房维修租赁、购置费（包括设备、计算机、车辆等）、干部培训费、执法部门办案费、信息网络运行维护费等用于一般行政管理事务方面的项目支出。</w:t>
      </w:r>
    </w:p>
    <w:p>
      <w:pPr>
        <w:rPr>
          <w:rFonts w:hint="eastAsia" w:ascii="仿宋_GB2312" w:eastAsia="仿宋_GB2312"/>
          <w:sz w:val="32"/>
          <w:szCs w:val="32"/>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54850701"/>
    <w:rsid w:val="072F71CA"/>
    <w:rsid w:val="54850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6307</Words>
  <Characters>7325</Characters>
  <Lines>0</Lines>
  <Paragraphs>0</Paragraphs>
  <TotalTime>0</TotalTime>
  <ScaleCrop>false</ScaleCrop>
  <LinksUpToDate>false</LinksUpToDate>
  <CharactersWithSpaces>7329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2023-04-11T03:27:00Z</dcterms:created>
  <dc:creator>苏坡云☁️</dc:creator>
  <cp:lastModifiedBy>苏坡云☁️</cp:lastModifiedBy>
  <dcterms:modified xsi:type="dcterms:W3CDTF">2023-07-12T02:44:33Z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266ACCC4B6A44680976FC6EAA338EAF8_11</vt:lpwstr>
  </property>
</Properties>
</file>