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auto"/>
        </w:rPr>
      </w:pPr>
      <w:bookmarkStart w:id="0" w:name="_Toc262396884"/>
    </w:p>
    <w:p>
      <w:pPr>
        <w:spacing w:line="360" w:lineRule="auto"/>
        <w:jc w:val="center"/>
        <w:rPr>
          <w:rFonts w:hint="eastAsia" w:eastAsia="宋体"/>
          <w:b/>
          <w:bCs/>
          <w:color w:val="auto"/>
          <w:sz w:val="32"/>
          <w:lang w:eastAsia="zh-CN"/>
        </w:rPr>
      </w:pPr>
      <w:r>
        <w:rPr>
          <w:rFonts w:hint="eastAsia" w:eastAsia="宋体"/>
          <w:b/>
          <w:bCs/>
          <w:color w:val="auto"/>
          <w:sz w:val="32"/>
          <w:lang w:eastAsia="zh-CN"/>
        </w:rPr>
        <w:drawing>
          <wp:inline distT="0" distB="0" distL="114300" distR="114300">
            <wp:extent cx="5801360" cy="8203565"/>
            <wp:effectExtent l="0" t="0" r="2540" b="635"/>
            <wp:docPr id="3" name="图片 3" descr="市教委立项项目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市教委立项项目_1"/>
                    <pic:cNvPicPr>
                      <a:picLocks noChangeAspect="1"/>
                    </pic:cNvPicPr>
                  </pic:nvPicPr>
                  <pic:blipFill>
                    <a:blip r:embed="rId11"/>
                    <a:stretch>
                      <a:fillRect/>
                    </a:stretch>
                  </pic:blipFill>
                  <pic:spPr>
                    <a:xfrm>
                      <a:off x="0" y="0"/>
                      <a:ext cx="5801360" cy="8203565"/>
                    </a:xfrm>
                    <a:prstGeom prst="rect">
                      <a:avLst/>
                    </a:prstGeom>
                  </pic:spPr>
                </pic:pic>
              </a:graphicData>
            </a:graphic>
          </wp:inline>
        </w:drawing>
      </w:r>
    </w:p>
    <w:p>
      <w:pPr>
        <w:spacing w:line="360" w:lineRule="auto"/>
        <w:rPr>
          <w:b/>
          <w:bCs/>
          <w:color w:val="auto"/>
        </w:rPr>
      </w:pPr>
    </w:p>
    <w:p>
      <w:pPr>
        <w:tabs>
          <w:tab w:val="center" w:pos="4479"/>
          <w:tab w:val="left" w:pos="5706"/>
        </w:tabs>
        <w:jc w:val="center"/>
        <w:rPr>
          <w:rFonts w:ascii="宋体" w:hAnsi="宋体" w:cs="宋体"/>
          <w:b/>
          <w:bCs/>
          <w:color w:val="auto"/>
          <w:sz w:val="32"/>
          <w:szCs w:val="32"/>
        </w:rPr>
      </w:pPr>
      <w:r>
        <w:rPr>
          <w:rFonts w:hint="eastAsia" w:ascii="宋体" w:hAnsi="宋体" w:cs="宋体"/>
          <w:b/>
          <w:bCs/>
          <w:color w:val="auto"/>
          <w:sz w:val="32"/>
          <w:szCs w:val="32"/>
        </w:rPr>
        <w:t>目录</w:t>
      </w:r>
      <w:bookmarkEnd w:id="0"/>
    </w:p>
    <w:p>
      <w:pPr>
        <w:tabs>
          <w:tab w:val="center" w:pos="4479"/>
          <w:tab w:val="left" w:pos="5706"/>
        </w:tabs>
        <w:jc w:val="center"/>
        <w:rPr>
          <w:rFonts w:ascii="宋体" w:hAnsi="宋体"/>
          <w:b/>
          <w:bCs/>
          <w:color w:val="auto"/>
          <w:sz w:val="32"/>
          <w:szCs w:val="32"/>
        </w:rPr>
      </w:pPr>
    </w:p>
    <w:p>
      <w:pPr>
        <w:pStyle w:val="25"/>
        <w:tabs>
          <w:tab w:val="right" w:leader="dot" w:pos="8306"/>
          <w:tab w:val="clear" w:pos="8398"/>
        </w:tabs>
        <w:rPr>
          <w:color w:val="auto"/>
        </w:rPr>
      </w:pPr>
      <w:r>
        <w:rPr>
          <w:color w:val="auto"/>
        </w:rPr>
        <w:fldChar w:fldCharType="begin"/>
      </w:r>
      <w:r>
        <w:rPr>
          <w:color w:val="auto"/>
        </w:rPr>
        <w:instrText xml:space="preserve">TOC \o "1-1" \h \u </w:instrText>
      </w:r>
      <w:bookmarkStart w:id="1" w:name="_Hlt101843627"/>
      <w:bookmarkEnd w:id="1"/>
      <w:bookmarkStart w:id="2" w:name="_Hlt101233737"/>
      <w:bookmarkEnd w:id="2"/>
      <w:bookmarkStart w:id="3" w:name="_Toc289512780"/>
      <w:bookmarkStart w:id="4" w:name="_Toc89075871"/>
      <w:bookmarkStart w:id="5" w:name="_Toc217446031"/>
      <w:bookmarkStart w:id="6" w:name="_Toc213396759"/>
      <w:bookmarkStart w:id="7" w:name="_Toc213496267"/>
      <w:bookmarkStart w:id="8" w:name="_Toc213397009"/>
      <w:bookmarkStart w:id="9" w:name="_Toc213396945"/>
      <w:bookmarkStart w:id="10" w:name="_Toc77400776"/>
      <w:bookmarkStart w:id="11" w:name="_Toc183682339"/>
      <w:bookmarkStart w:id="12" w:name="_Toc183582202"/>
      <w:r>
        <w:rPr>
          <w:color w:val="auto"/>
        </w:rPr>
        <w:fldChar w:fldCharType="separate"/>
      </w:r>
      <w:r>
        <w:rPr>
          <w:color w:val="auto"/>
        </w:rPr>
        <w:fldChar w:fldCharType="begin"/>
      </w:r>
      <w:r>
        <w:rPr>
          <w:color w:val="auto"/>
        </w:rPr>
        <w:instrText xml:space="preserve"> HYPERLINK \l _Toc31954 </w:instrText>
      </w:r>
      <w:r>
        <w:rPr>
          <w:color w:val="auto"/>
        </w:rPr>
        <w:fldChar w:fldCharType="separate"/>
      </w:r>
      <w:r>
        <w:rPr>
          <w:rFonts w:hint="eastAsia" w:ascii="ˎ̥" w:hAnsi="ˎ̥" w:cs="宋体"/>
          <w:bCs/>
          <w:color w:val="auto"/>
          <w:kern w:val="0"/>
          <w:szCs w:val="24"/>
        </w:rPr>
        <w:t>第一章 采购邀请</w:t>
      </w:r>
      <w:r>
        <w:rPr>
          <w:color w:val="auto"/>
        </w:rPr>
        <w:tab/>
      </w:r>
      <w:r>
        <w:rPr>
          <w:color w:val="auto"/>
        </w:rPr>
        <w:fldChar w:fldCharType="begin"/>
      </w:r>
      <w:r>
        <w:rPr>
          <w:color w:val="auto"/>
        </w:rPr>
        <w:instrText xml:space="preserve"> PAGEREF _Toc31954 </w:instrText>
      </w:r>
      <w:r>
        <w:rPr>
          <w:color w:val="auto"/>
        </w:rPr>
        <w:fldChar w:fldCharType="separate"/>
      </w:r>
      <w:r>
        <w:rPr>
          <w:color w:val="auto"/>
        </w:rPr>
        <w:t>3</w:t>
      </w:r>
      <w:r>
        <w:rPr>
          <w:color w:val="auto"/>
        </w:rPr>
        <w:fldChar w:fldCharType="end"/>
      </w:r>
      <w:r>
        <w:rPr>
          <w:color w:val="auto"/>
        </w:rPr>
        <w:fldChar w:fldCharType="end"/>
      </w:r>
    </w:p>
    <w:p>
      <w:pPr>
        <w:pStyle w:val="25"/>
        <w:tabs>
          <w:tab w:val="right" w:leader="dot" w:pos="8306"/>
          <w:tab w:val="clear" w:pos="8398"/>
        </w:tabs>
        <w:rPr>
          <w:color w:val="auto"/>
        </w:rPr>
      </w:pPr>
      <w:r>
        <w:rPr>
          <w:color w:val="auto"/>
        </w:rPr>
        <w:fldChar w:fldCharType="begin"/>
      </w:r>
      <w:r>
        <w:rPr>
          <w:color w:val="auto"/>
        </w:rPr>
        <w:instrText xml:space="preserve"> HYPERLINK \l _Toc16297 </w:instrText>
      </w:r>
      <w:r>
        <w:rPr>
          <w:color w:val="auto"/>
        </w:rPr>
        <w:fldChar w:fldCharType="separate"/>
      </w:r>
      <w:r>
        <w:rPr>
          <w:rFonts w:hint="eastAsia"/>
          <w:color w:val="auto"/>
        </w:rPr>
        <w:t>第二</w:t>
      </w:r>
      <w:r>
        <w:rPr>
          <w:rFonts w:hint="eastAsia"/>
          <w:color w:val="auto"/>
          <w:lang w:val="en-US" w:eastAsia="zh-CN"/>
        </w:rPr>
        <w:t>章</w:t>
      </w:r>
      <w:r>
        <w:rPr>
          <w:rFonts w:hint="eastAsia"/>
          <w:color w:val="auto"/>
        </w:rPr>
        <w:t xml:space="preserve">  供应商须知</w:t>
      </w:r>
      <w:r>
        <w:rPr>
          <w:color w:val="auto"/>
        </w:rPr>
        <w:tab/>
      </w:r>
      <w:r>
        <w:rPr>
          <w:color w:val="auto"/>
        </w:rPr>
        <w:fldChar w:fldCharType="begin"/>
      </w:r>
      <w:r>
        <w:rPr>
          <w:color w:val="auto"/>
        </w:rPr>
        <w:instrText xml:space="preserve"> PAGEREF _Toc16297 </w:instrText>
      </w:r>
      <w:r>
        <w:rPr>
          <w:color w:val="auto"/>
        </w:rPr>
        <w:fldChar w:fldCharType="separate"/>
      </w:r>
      <w:r>
        <w:rPr>
          <w:color w:val="auto"/>
        </w:rPr>
        <w:t>6</w:t>
      </w:r>
      <w:r>
        <w:rPr>
          <w:color w:val="auto"/>
        </w:rPr>
        <w:fldChar w:fldCharType="end"/>
      </w:r>
      <w:r>
        <w:rPr>
          <w:color w:val="auto"/>
        </w:rPr>
        <w:fldChar w:fldCharType="end"/>
      </w:r>
    </w:p>
    <w:p>
      <w:pPr>
        <w:pStyle w:val="25"/>
        <w:tabs>
          <w:tab w:val="right" w:leader="dot" w:pos="8306"/>
          <w:tab w:val="clear" w:pos="8398"/>
        </w:tabs>
        <w:rPr>
          <w:color w:val="auto"/>
        </w:rPr>
      </w:pPr>
      <w:r>
        <w:rPr>
          <w:color w:val="auto"/>
        </w:rPr>
        <w:fldChar w:fldCharType="begin"/>
      </w:r>
      <w:r>
        <w:rPr>
          <w:color w:val="auto"/>
        </w:rPr>
        <w:instrText xml:space="preserve"> HYPERLINK \l _Toc14981 </w:instrText>
      </w:r>
      <w:r>
        <w:rPr>
          <w:color w:val="auto"/>
        </w:rPr>
        <w:fldChar w:fldCharType="separate"/>
      </w:r>
      <w:r>
        <w:rPr>
          <w:rFonts w:hint="eastAsia" w:ascii="宋体" w:hAnsi="宋体" w:cs="宋体"/>
          <w:color w:val="auto"/>
          <w:szCs w:val="36"/>
        </w:rPr>
        <w:t>第三章 服务合同</w:t>
      </w:r>
      <w:r>
        <w:rPr>
          <w:color w:val="auto"/>
        </w:rPr>
        <w:tab/>
      </w:r>
      <w:r>
        <w:rPr>
          <w:color w:val="auto"/>
        </w:rPr>
        <w:fldChar w:fldCharType="begin"/>
      </w:r>
      <w:r>
        <w:rPr>
          <w:color w:val="auto"/>
        </w:rPr>
        <w:instrText xml:space="preserve"> PAGEREF _Toc14981 </w:instrText>
      </w:r>
      <w:r>
        <w:rPr>
          <w:color w:val="auto"/>
        </w:rPr>
        <w:fldChar w:fldCharType="separate"/>
      </w:r>
      <w:r>
        <w:rPr>
          <w:color w:val="auto"/>
        </w:rPr>
        <w:t>17</w:t>
      </w:r>
      <w:r>
        <w:rPr>
          <w:color w:val="auto"/>
        </w:rPr>
        <w:fldChar w:fldCharType="end"/>
      </w:r>
      <w:r>
        <w:rPr>
          <w:color w:val="auto"/>
        </w:rPr>
        <w:fldChar w:fldCharType="end"/>
      </w:r>
    </w:p>
    <w:p>
      <w:pPr>
        <w:pStyle w:val="25"/>
        <w:tabs>
          <w:tab w:val="right" w:leader="dot" w:pos="8306"/>
          <w:tab w:val="clear" w:pos="8398"/>
        </w:tabs>
        <w:rPr>
          <w:color w:val="auto"/>
        </w:rPr>
      </w:pPr>
      <w:r>
        <w:rPr>
          <w:color w:val="auto"/>
        </w:rPr>
        <w:fldChar w:fldCharType="begin"/>
      </w:r>
      <w:r>
        <w:rPr>
          <w:color w:val="auto"/>
        </w:rPr>
        <w:instrText xml:space="preserve"> HYPERLINK \l _Toc14014 </w:instrText>
      </w:r>
      <w:r>
        <w:rPr>
          <w:color w:val="auto"/>
        </w:rPr>
        <w:fldChar w:fldCharType="separate"/>
      </w:r>
      <w:r>
        <w:rPr>
          <w:rFonts w:hint="eastAsia" w:ascii="宋体" w:hAnsi="宋体" w:cs="宋体"/>
          <w:color w:val="auto"/>
          <w:szCs w:val="36"/>
        </w:rPr>
        <w:t>第四章 需求情况及要求</w:t>
      </w:r>
      <w:r>
        <w:rPr>
          <w:color w:val="auto"/>
        </w:rPr>
        <w:tab/>
      </w:r>
      <w:r>
        <w:rPr>
          <w:color w:val="auto"/>
        </w:rPr>
        <w:fldChar w:fldCharType="begin"/>
      </w:r>
      <w:r>
        <w:rPr>
          <w:color w:val="auto"/>
        </w:rPr>
        <w:instrText xml:space="preserve"> PAGEREF _Toc14014 </w:instrText>
      </w:r>
      <w:r>
        <w:rPr>
          <w:color w:val="auto"/>
        </w:rPr>
        <w:fldChar w:fldCharType="separate"/>
      </w:r>
      <w:r>
        <w:rPr>
          <w:color w:val="auto"/>
        </w:rPr>
        <w:t>23</w:t>
      </w:r>
      <w:r>
        <w:rPr>
          <w:color w:val="auto"/>
        </w:rPr>
        <w:fldChar w:fldCharType="end"/>
      </w:r>
      <w:r>
        <w:rPr>
          <w:color w:val="auto"/>
        </w:rPr>
        <w:fldChar w:fldCharType="end"/>
      </w:r>
    </w:p>
    <w:p>
      <w:pPr>
        <w:pStyle w:val="25"/>
        <w:tabs>
          <w:tab w:val="right" w:leader="dot" w:pos="8306"/>
          <w:tab w:val="clear" w:pos="8398"/>
        </w:tabs>
        <w:rPr>
          <w:color w:val="auto"/>
        </w:rPr>
      </w:pPr>
      <w:r>
        <w:rPr>
          <w:color w:val="auto"/>
        </w:rPr>
        <w:fldChar w:fldCharType="begin"/>
      </w:r>
      <w:r>
        <w:rPr>
          <w:color w:val="auto"/>
        </w:rPr>
        <w:instrText xml:space="preserve"> HYPERLINK \l _Toc5850 </w:instrText>
      </w:r>
      <w:r>
        <w:rPr>
          <w:color w:val="auto"/>
        </w:rPr>
        <w:fldChar w:fldCharType="separate"/>
      </w:r>
      <w:r>
        <w:rPr>
          <w:rFonts w:hint="eastAsia" w:ascii="宋体" w:hAnsi="宋体" w:cs="宋体"/>
          <w:color w:val="auto"/>
          <w:szCs w:val="36"/>
        </w:rPr>
        <w:t>第五章 响应文件格式</w:t>
      </w:r>
      <w:r>
        <w:rPr>
          <w:color w:val="auto"/>
        </w:rPr>
        <w:tab/>
      </w:r>
      <w:r>
        <w:rPr>
          <w:color w:val="auto"/>
        </w:rPr>
        <w:fldChar w:fldCharType="begin"/>
      </w:r>
      <w:r>
        <w:rPr>
          <w:color w:val="auto"/>
        </w:rPr>
        <w:instrText xml:space="preserve"> PAGEREF _Toc5850 </w:instrText>
      </w:r>
      <w:r>
        <w:rPr>
          <w:color w:val="auto"/>
        </w:rPr>
        <w:fldChar w:fldCharType="separate"/>
      </w:r>
      <w:r>
        <w:rPr>
          <w:color w:val="auto"/>
        </w:rPr>
        <w:t>26</w:t>
      </w:r>
      <w:r>
        <w:rPr>
          <w:color w:val="auto"/>
        </w:rPr>
        <w:fldChar w:fldCharType="end"/>
      </w:r>
      <w:r>
        <w:rPr>
          <w:color w:val="auto"/>
        </w:rPr>
        <w:fldChar w:fldCharType="end"/>
      </w:r>
    </w:p>
    <w:p>
      <w:pPr>
        <w:pStyle w:val="25"/>
        <w:tabs>
          <w:tab w:val="right" w:leader="dot" w:pos="8306"/>
          <w:tab w:val="clear" w:pos="8398"/>
        </w:tabs>
        <w:rPr>
          <w:color w:val="auto"/>
        </w:rPr>
      </w:pPr>
      <w:r>
        <w:rPr>
          <w:color w:val="auto"/>
        </w:rPr>
        <w:fldChar w:fldCharType="begin"/>
      </w:r>
      <w:r>
        <w:rPr>
          <w:color w:val="auto"/>
        </w:rPr>
        <w:instrText xml:space="preserve"> HYPERLINK \l _Toc25307 </w:instrText>
      </w:r>
      <w:r>
        <w:rPr>
          <w:color w:val="auto"/>
        </w:rPr>
        <w:fldChar w:fldCharType="separate"/>
      </w:r>
      <w:r>
        <w:rPr>
          <w:rFonts w:hint="eastAsia" w:ascii="宋体" w:hAnsi="宋体" w:cs="宋体"/>
          <w:color w:val="auto"/>
          <w:szCs w:val="36"/>
        </w:rPr>
        <w:t>第六章 评标标准</w:t>
      </w:r>
      <w:r>
        <w:rPr>
          <w:color w:val="auto"/>
        </w:rPr>
        <w:tab/>
      </w:r>
      <w:r>
        <w:rPr>
          <w:color w:val="auto"/>
        </w:rPr>
        <w:fldChar w:fldCharType="begin"/>
      </w:r>
      <w:r>
        <w:rPr>
          <w:color w:val="auto"/>
        </w:rPr>
        <w:instrText xml:space="preserve"> PAGEREF _Toc25307 </w:instrText>
      </w:r>
      <w:r>
        <w:rPr>
          <w:color w:val="auto"/>
        </w:rPr>
        <w:fldChar w:fldCharType="separate"/>
      </w:r>
      <w:r>
        <w:rPr>
          <w:color w:val="auto"/>
        </w:rPr>
        <w:t>46</w:t>
      </w:r>
      <w:r>
        <w:rPr>
          <w:color w:val="auto"/>
        </w:rPr>
        <w:fldChar w:fldCharType="end"/>
      </w:r>
      <w:r>
        <w:rPr>
          <w:color w:val="auto"/>
        </w:rPr>
        <w:fldChar w:fldCharType="end"/>
      </w:r>
    </w:p>
    <w:p>
      <w:pPr>
        <w:outlineLvl w:val="0"/>
        <w:rPr>
          <w:rFonts w:ascii="宋体" w:hAnsi="宋体"/>
          <w:bCs/>
          <w:caps/>
          <w:color w:val="auto"/>
        </w:rPr>
      </w:pPr>
      <w:r>
        <w:rPr>
          <w:color w:val="auto"/>
        </w:rPr>
        <w:fldChar w:fldCharType="end"/>
      </w:r>
      <w:bookmarkStart w:id="13" w:name="_Toc23711"/>
      <w:r>
        <w:rPr>
          <w:rFonts w:ascii="宋体" w:hAnsi="宋体"/>
          <w:bCs/>
          <w:caps/>
          <w:color w:val="auto"/>
        </w:rPr>
        <w:br w:type="page"/>
      </w:r>
      <w:bookmarkEnd w:id="13"/>
    </w:p>
    <w:bookmarkEnd w:id="3"/>
    <w:p>
      <w:pPr>
        <w:spacing w:line="360" w:lineRule="auto"/>
        <w:jc w:val="center"/>
        <w:outlineLvl w:val="0"/>
        <w:rPr>
          <w:rFonts w:hint="eastAsia" w:ascii="ˎ̥" w:hAnsi="ˎ̥" w:cs="宋体"/>
          <w:color w:val="auto"/>
          <w:kern w:val="0"/>
          <w:sz w:val="24"/>
          <w:szCs w:val="24"/>
        </w:rPr>
      </w:pPr>
      <w:bookmarkStart w:id="14" w:name="_Toc680"/>
      <w:bookmarkStart w:id="15" w:name="_Toc6406"/>
      <w:bookmarkStart w:id="16" w:name="_Toc32285"/>
      <w:bookmarkStart w:id="17" w:name="_Toc31954"/>
      <w:r>
        <w:rPr>
          <w:rFonts w:hint="eastAsia" w:ascii="ˎ̥" w:hAnsi="ˎ̥" w:cs="宋体"/>
          <w:b/>
          <w:bCs/>
          <w:color w:val="auto"/>
          <w:kern w:val="0"/>
          <w:sz w:val="32"/>
          <w:szCs w:val="24"/>
        </w:rPr>
        <w:t>第一章 采购邀请</w:t>
      </w:r>
      <w:bookmarkEnd w:id="14"/>
      <w:bookmarkEnd w:id="15"/>
      <w:bookmarkEnd w:id="16"/>
      <w:bookmarkEnd w:id="17"/>
    </w:p>
    <w:p>
      <w:pPr>
        <w:rPr>
          <w:color w:val="auto"/>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bidi="ar"/>
        </w:rPr>
        <w:t xml:space="preserve"> 市教委立项项目-北京教育督导重点工作平面及媒体宣传报道项目</w:t>
      </w:r>
      <w:r>
        <w:rPr>
          <w:rFonts w:hint="eastAsia" w:asciiTheme="minorEastAsia" w:hAnsiTheme="minorEastAsia" w:eastAsiaTheme="minorEastAsia" w:cstheme="minorEastAsia"/>
          <w:color w:val="auto"/>
          <w:sz w:val="24"/>
          <w:szCs w:val="24"/>
          <w:lang w:bidi="ar"/>
        </w:rPr>
        <w:t xml:space="preserve"> 采购项目的潜在供应商应在</w:t>
      </w:r>
      <w:r>
        <w:rPr>
          <w:rFonts w:hint="eastAsia" w:asciiTheme="minorEastAsia" w:hAnsiTheme="minorEastAsia" w:eastAsiaTheme="minorEastAsia" w:cstheme="minorEastAsia"/>
          <w:color w:val="auto"/>
          <w:sz w:val="24"/>
          <w:szCs w:val="24"/>
          <w:u w:val="single"/>
          <w:lang w:bidi="ar"/>
        </w:rPr>
        <w:t>邮件</w:t>
      </w:r>
      <w:r>
        <w:rPr>
          <w:rFonts w:hint="eastAsia" w:asciiTheme="minorEastAsia" w:hAnsiTheme="minorEastAsia" w:eastAsiaTheme="minorEastAsia" w:cstheme="minorEastAsia"/>
          <w:color w:val="auto"/>
          <w:sz w:val="24"/>
          <w:szCs w:val="24"/>
          <w:lang w:bidi="ar"/>
        </w:rPr>
        <w:t>获取采购文件，并于</w:t>
      </w:r>
      <w:r>
        <w:rPr>
          <w:rFonts w:hint="eastAsia" w:asciiTheme="minorEastAsia" w:hAnsiTheme="minorEastAsia" w:eastAsiaTheme="minorEastAsia" w:cstheme="minorEastAsia"/>
          <w:color w:val="auto"/>
          <w:sz w:val="24"/>
          <w:szCs w:val="24"/>
          <w:u w:val="single"/>
          <w:lang w:bidi="ar"/>
        </w:rPr>
        <w:t>2020</w:t>
      </w:r>
      <w:r>
        <w:rPr>
          <w:rFonts w:hint="eastAsia" w:asciiTheme="minorEastAsia" w:hAnsiTheme="minorEastAsia" w:eastAsiaTheme="minorEastAsia" w:cstheme="minorEastAsia"/>
          <w:bCs/>
          <w:color w:val="auto"/>
          <w:sz w:val="24"/>
          <w:szCs w:val="24"/>
          <w:u w:val="single"/>
          <w:lang w:bidi="ar"/>
        </w:rPr>
        <w:t>年6月2日9点20分</w:t>
      </w:r>
      <w:r>
        <w:rPr>
          <w:rFonts w:hint="eastAsia" w:asciiTheme="minorEastAsia" w:hAnsiTheme="minorEastAsia" w:eastAsiaTheme="minorEastAsia" w:cstheme="minorEastAsia"/>
          <w:bCs/>
          <w:color w:val="auto"/>
          <w:sz w:val="24"/>
          <w:szCs w:val="24"/>
          <w:lang w:bidi="ar"/>
        </w:rPr>
        <w:t>（北京时间）前提交响应文件</w:t>
      </w:r>
      <w:r>
        <w:rPr>
          <w:rFonts w:hint="eastAsia" w:asciiTheme="minorEastAsia" w:hAnsiTheme="minorEastAsia" w:eastAsiaTheme="minorEastAsia" w:cstheme="minorEastAsia"/>
          <w:color w:val="auto"/>
          <w:sz w:val="24"/>
          <w:szCs w:val="24"/>
          <w:lang w:bidi="ar"/>
        </w:rPr>
        <w:t>。</w:t>
      </w:r>
    </w:p>
    <w:p>
      <w:pPr>
        <w:rPr>
          <w:color w:val="auto"/>
        </w:rPr>
      </w:pPr>
    </w:p>
    <w:p>
      <w:pPr>
        <w:outlineLvl w:val="9"/>
        <w:rPr>
          <w:rFonts w:ascii="黑体" w:hAnsi="宋体" w:cs="宋体"/>
          <w:b w:val="0"/>
          <w:color w:val="auto"/>
          <w:sz w:val="24"/>
          <w:szCs w:val="24"/>
        </w:rPr>
      </w:pPr>
      <w:bookmarkStart w:id="18" w:name="_Toc35393629"/>
      <w:bookmarkStart w:id="19" w:name="_Toc28359089"/>
      <w:bookmarkStart w:id="20" w:name="_Toc35393798"/>
      <w:bookmarkStart w:id="21" w:name="_Toc28359012"/>
      <w:bookmarkStart w:id="22" w:name="_Toc3292"/>
      <w:r>
        <w:rPr>
          <w:rFonts w:hint="eastAsia" w:ascii="黑体" w:hAnsi="宋体" w:cs="宋体"/>
          <w:b w:val="0"/>
          <w:color w:val="auto"/>
          <w:sz w:val="24"/>
          <w:szCs w:val="24"/>
        </w:rPr>
        <w:t>一、项目基本情况</w:t>
      </w:r>
      <w:bookmarkEnd w:id="18"/>
      <w:bookmarkEnd w:id="19"/>
      <w:bookmarkEnd w:id="20"/>
      <w:bookmarkEnd w:id="21"/>
      <w:bookmarkEnd w:id="22"/>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项目编号：ZB-20-228</w:t>
      </w:r>
    </w:p>
    <w:p>
      <w:pPr>
        <w:spacing w:line="360" w:lineRule="auto"/>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项目名称：市教委立项项目-北京教育督导重点工作平面及媒体宣传报道项目</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采购方式：竞争性磋商</w:t>
      </w:r>
    </w:p>
    <w:p>
      <w:pPr>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预算金额：1092840元</w:t>
      </w:r>
    </w:p>
    <w:p>
      <w:pPr>
        <w:spacing w:line="360" w:lineRule="auto"/>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采购需求：市教委立项项目-北京教育督导重点工作平面及媒体宣传报道项目，1项，主要内容</w:t>
      </w:r>
      <w:r>
        <w:rPr>
          <w:rFonts w:hint="eastAsia" w:asciiTheme="minorEastAsia" w:hAnsiTheme="minorEastAsia" w:eastAsiaTheme="minorEastAsia" w:cstheme="minorEastAsia"/>
          <w:color w:val="auto"/>
          <w:sz w:val="24"/>
          <w:szCs w:val="24"/>
          <w:lang w:eastAsia="zh-CN" w:bidi="ar"/>
        </w:rPr>
        <w:t>：</w:t>
      </w:r>
      <w:r>
        <w:rPr>
          <w:rFonts w:hint="eastAsia" w:asciiTheme="minorEastAsia" w:hAnsiTheme="minorEastAsia" w:eastAsiaTheme="minorEastAsia" w:cstheme="minorEastAsia"/>
          <w:color w:val="auto"/>
          <w:sz w:val="24"/>
          <w:szCs w:val="24"/>
          <w:lang w:bidi="ar"/>
        </w:rPr>
        <w:t>1.教育督导工作案例征集、评选；2.“督学之星”评选展示。</w:t>
      </w:r>
    </w:p>
    <w:p>
      <w:pPr>
        <w:spacing w:line="360" w:lineRule="auto"/>
        <w:ind w:firstLine="480" w:firstLine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合同履行期限：自合同签订之日起至2020年11月20日之前完成。</w:t>
      </w:r>
    </w:p>
    <w:p>
      <w:pPr>
        <w:spacing w:line="360" w:lineRule="auto"/>
        <w:ind w:firstLine="480" w:firstLineChars="200"/>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本项目不接受联合体。</w:t>
      </w:r>
    </w:p>
    <w:p>
      <w:pPr>
        <w:outlineLvl w:val="9"/>
        <w:rPr>
          <w:rFonts w:ascii="黑体" w:hAnsi="宋体" w:cs="宋体"/>
          <w:b w:val="0"/>
          <w:color w:val="auto"/>
          <w:sz w:val="24"/>
          <w:szCs w:val="24"/>
        </w:rPr>
      </w:pPr>
      <w:bookmarkStart w:id="23" w:name="_Toc28359013"/>
      <w:bookmarkStart w:id="24" w:name="_Toc35393799"/>
      <w:bookmarkStart w:id="25" w:name="_Toc35393630"/>
      <w:bookmarkStart w:id="26" w:name="_Toc28359090"/>
      <w:bookmarkStart w:id="27" w:name="_Toc6220"/>
      <w:r>
        <w:rPr>
          <w:rFonts w:hint="eastAsia" w:ascii="黑体" w:hAnsi="宋体" w:cs="宋体"/>
          <w:b w:val="0"/>
          <w:color w:val="auto"/>
          <w:sz w:val="24"/>
          <w:szCs w:val="24"/>
        </w:rPr>
        <w:t>二、申请人的资格要求：</w:t>
      </w:r>
      <w:bookmarkEnd w:id="23"/>
      <w:bookmarkEnd w:id="24"/>
      <w:bookmarkEnd w:id="25"/>
      <w:bookmarkEnd w:id="26"/>
      <w:bookmarkEnd w:id="27"/>
    </w:p>
    <w:p>
      <w:pPr>
        <w:spacing w:line="360" w:lineRule="auto"/>
        <w:ind w:firstLine="480" w:firstLineChars="200"/>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1.满足《中华人民共和国政府采购法》第二十二条规定；</w:t>
      </w:r>
    </w:p>
    <w:p>
      <w:pPr>
        <w:tabs>
          <w:tab w:val="left" w:pos="720"/>
        </w:tabs>
        <w:autoSpaceDE w:val="0"/>
        <w:autoSpaceDN w:val="0"/>
        <w:adjustRightInd w:val="0"/>
        <w:spacing w:line="360" w:lineRule="auto"/>
        <w:ind w:left="278" w:right="17"/>
        <w:jc w:val="left"/>
        <w:rPr>
          <w:rFonts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1）在中华人民共和国境内注册的、具有独立承担民事责任的能力；</w:t>
      </w:r>
    </w:p>
    <w:p>
      <w:pPr>
        <w:tabs>
          <w:tab w:val="left" w:pos="720"/>
        </w:tabs>
        <w:autoSpaceDE w:val="0"/>
        <w:autoSpaceDN w:val="0"/>
        <w:adjustRightInd w:val="0"/>
        <w:spacing w:line="360" w:lineRule="auto"/>
        <w:ind w:left="278" w:right="17"/>
        <w:jc w:val="left"/>
        <w:rPr>
          <w:rFonts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2）具有良好的商业信誉和健全的财务会计制度；</w:t>
      </w:r>
    </w:p>
    <w:p>
      <w:pPr>
        <w:tabs>
          <w:tab w:val="left" w:pos="720"/>
        </w:tabs>
        <w:autoSpaceDE w:val="0"/>
        <w:autoSpaceDN w:val="0"/>
        <w:adjustRightInd w:val="0"/>
        <w:spacing w:line="360" w:lineRule="auto"/>
        <w:ind w:left="278" w:right="17"/>
        <w:jc w:val="left"/>
        <w:rPr>
          <w:rFonts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3）具有履行合同所必需的设备和专业技术能力；</w:t>
      </w:r>
    </w:p>
    <w:p>
      <w:pPr>
        <w:tabs>
          <w:tab w:val="left" w:pos="720"/>
        </w:tabs>
        <w:autoSpaceDE w:val="0"/>
        <w:autoSpaceDN w:val="0"/>
        <w:adjustRightInd w:val="0"/>
        <w:spacing w:line="360" w:lineRule="auto"/>
        <w:ind w:left="278" w:right="17"/>
        <w:jc w:val="left"/>
        <w:rPr>
          <w:rFonts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4）有依法缴纳税收和社会保障资金的良好记录；</w:t>
      </w:r>
    </w:p>
    <w:p>
      <w:pPr>
        <w:spacing w:line="360" w:lineRule="auto"/>
        <w:ind w:firstLine="240" w:firstLineChars="100"/>
        <w:rPr>
          <w:rFonts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5）参加本次采购活动前三年内，在经营活动中没有重大违法记录；</w:t>
      </w:r>
    </w:p>
    <w:p>
      <w:pPr>
        <w:spacing w:line="36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6）须符合《财政部关于在政府采购活动中查询及使用信用记录有关问题的通知》（财库〔2016〕125号）的相关要求；</w:t>
      </w:r>
    </w:p>
    <w:p>
      <w:pPr>
        <w:spacing w:line="36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7）本项目不接受联合体；</w:t>
      </w:r>
    </w:p>
    <w:p>
      <w:pPr>
        <w:spacing w:line="360" w:lineRule="auto"/>
        <w:ind w:firstLine="240" w:firstLineChars="1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8）供应商必须向采购代理机构购买竞争性磋商文件并登记备案，未经向采购代理机构购买竞争性磋商文件并登记备案的潜在供应商均无资格参加本次磋商。</w:t>
      </w:r>
    </w:p>
    <w:p>
      <w:pPr>
        <w:spacing w:line="360" w:lineRule="auto"/>
        <w:ind w:firstLine="480" w:firstLineChars="200"/>
        <w:rPr>
          <w:rFonts w:asciiTheme="minorEastAsia" w:hAnsiTheme="minorEastAsia" w:eastAsiaTheme="minorEastAsia" w:cstheme="minorEastAsia"/>
          <w:color w:val="auto"/>
          <w:sz w:val="24"/>
          <w:szCs w:val="24"/>
        </w:rPr>
      </w:pPr>
      <w:bookmarkStart w:id="28" w:name="_Toc28359014"/>
      <w:bookmarkStart w:id="29" w:name="_Toc28359091"/>
      <w:r>
        <w:rPr>
          <w:rFonts w:hint="eastAsia" w:asciiTheme="minorEastAsia" w:hAnsiTheme="minorEastAsia" w:eastAsiaTheme="minorEastAsia" w:cstheme="minorEastAsia"/>
          <w:color w:val="auto"/>
          <w:sz w:val="24"/>
          <w:szCs w:val="24"/>
          <w:lang w:bidi="ar"/>
        </w:rPr>
        <w:t>2.落实政府采购政策需满足的资格要求：</w:t>
      </w:r>
      <w:r>
        <w:rPr>
          <w:rFonts w:hint="eastAsia" w:asciiTheme="minorEastAsia" w:hAnsiTheme="minorEastAsia" w:eastAsiaTheme="minorEastAsia" w:cstheme="minorEastAsia"/>
          <w:color w:val="auto"/>
          <w:sz w:val="24"/>
          <w:szCs w:val="24"/>
          <w:u w:val="single"/>
          <w:lang w:bidi="ar"/>
        </w:rPr>
        <w:t>（</w:t>
      </w:r>
      <w:r>
        <w:rPr>
          <w:rFonts w:hint="eastAsia" w:asciiTheme="minorEastAsia" w:hAnsiTheme="minorEastAsia" w:eastAsiaTheme="minorEastAsia" w:cstheme="minorEastAsia"/>
          <w:iCs/>
          <w:color w:val="auto"/>
          <w:sz w:val="24"/>
          <w:szCs w:val="24"/>
          <w:u w:val="single"/>
          <w:lang w:bidi="ar"/>
        </w:rPr>
        <w:t>非专门面向中小企业采购的项目</w:t>
      </w:r>
      <w:r>
        <w:rPr>
          <w:rFonts w:hint="eastAsia" w:asciiTheme="minorEastAsia" w:hAnsiTheme="minorEastAsia" w:eastAsiaTheme="minorEastAsia" w:cstheme="minorEastAsia"/>
          <w:color w:val="auto"/>
          <w:sz w:val="24"/>
          <w:szCs w:val="24"/>
          <w:u w:val="single"/>
          <w:lang w:bidi="ar"/>
        </w:rPr>
        <w:t>)</w:t>
      </w:r>
    </w:p>
    <w:p>
      <w:pPr>
        <w:spacing w:line="360" w:lineRule="auto"/>
        <w:ind w:firstLine="480" w:firstLineChars="200"/>
        <w:rPr>
          <w:rFonts w:asciiTheme="minorEastAsia" w:hAnsiTheme="minorEastAsia" w:eastAsiaTheme="minorEastAsia" w:cstheme="minorEastAsia"/>
          <w:i/>
          <w:color w:val="auto"/>
          <w:sz w:val="24"/>
          <w:szCs w:val="24"/>
          <w:u w:val="single"/>
        </w:rPr>
      </w:pPr>
      <w:r>
        <w:rPr>
          <w:rFonts w:hint="eastAsia" w:asciiTheme="minorEastAsia" w:hAnsiTheme="minorEastAsia" w:eastAsiaTheme="minorEastAsia" w:cstheme="minorEastAsia"/>
          <w:color w:val="auto"/>
          <w:sz w:val="24"/>
          <w:szCs w:val="24"/>
          <w:lang w:bidi="ar"/>
        </w:rPr>
        <w:t>3.本项目的特定资格要求：</w:t>
      </w:r>
      <w:r>
        <w:rPr>
          <w:rFonts w:hint="eastAsia" w:asciiTheme="minorEastAsia" w:hAnsiTheme="minorEastAsia" w:eastAsiaTheme="minorEastAsia" w:cstheme="minorEastAsia"/>
          <w:color w:val="auto"/>
          <w:sz w:val="24"/>
          <w:szCs w:val="24"/>
          <w:u w:val="single"/>
          <w:lang w:bidi="ar"/>
        </w:rPr>
        <w:t>无</w:t>
      </w:r>
      <w:bookmarkStart w:id="425" w:name="_GoBack"/>
      <w:bookmarkEnd w:id="425"/>
    </w:p>
    <w:p>
      <w:pPr>
        <w:spacing w:line="360" w:lineRule="auto"/>
        <w:outlineLvl w:val="9"/>
        <w:rPr>
          <w:rFonts w:ascii="黑体" w:hAnsi="宋体" w:cs="宋体"/>
          <w:b w:val="0"/>
          <w:color w:val="auto"/>
          <w:sz w:val="24"/>
          <w:szCs w:val="24"/>
        </w:rPr>
      </w:pPr>
      <w:bookmarkStart w:id="30" w:name="_Toc35393800"/>
      <w:bookmarkStart w:id="31" w:name="_Toc35393631"/>
      <w:bookmarkStart w:id="32" w:name="_Toc23141"/>
      <w:r>
        <w:rPr>
          <w:rFonts w:hint="eastAsia" w:ascii="黑体" w:hAnsi="宋体" w:cs="宋体"/>
          <w:b w:val="0"/>
          <w:color w:val="auto"/>
          <w:sz w:val="24"/>
          <w:szCs w:val="24"/>
        </w:rPr>
        <w:t>三、获取采购文件</w:t>
      </w:r>
      <w:bookmarkEnd w:id="28"/>
      <w:bookmarkEnd w:id="29"/>
      <w:bookmarkEnd w:id="30"/>
      <w:bookmarkEnd w:id="31"/>
      <w:bookmarkEnd w:id="32"/>
    </w:p>
    <w:p>
      <w:pPr>
        <w:spacing w:line="360" w:lineRule="auto"/>
        <w:ind w:firstLine="54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时间：</w:t>
      </w:r>
      <w:r>
        <w:rPr>
          <w:rFonts w:hint="eastAsia" w:asciiTheme="minorEastAsia" w:hAnsiTheme="minorEastAsia" w:eastAsiaTheme="minorEastAsia" w:cstheme="minorEastAsia"/>
          <w:color w:val="auto"/>
          <w:sz w:val="24"/>
          <w:szCs w:val="24"/>
          <w:u w:val="single"/>
          <w:lang w:bidi="ar"/>
        </w:rPr>
        <w:t>2020年5月15日</w:t>
      </w:r>
      <w:r>
        <w:rPr>
          <w:rFonts w:hint="eastAsia" w:asciiTheme="minorEastAsia" w:hAnsiTheme="minorEastAsia" w:eastAsiaTheme="minorEastAsia" w:cstheme="minorEastAsia"/>
          <w:color w:val="auto"/>
          <w:sz w:val="24"/>
          <w:szCs w:val="24"/>
          <w:lang w:bidi="ar"/>
        </w:rPr>
        <w:t>至</w:t>
      </w:r>
      <w:r>
        <w:rPr>
          <w:rFonts w:hint="eastAsia" w:asciiTheme="minorEastAsia" w:hAnsiTheme="minorEastAsia" w:eastAsiaTheme="minorEastAsia" w:cstheme="minorEastAsia"/>
          <w:color w:val="auto"/>
          <w:sz w:val="24"/>
          <w:szCs w:val="24"/>
          <w:u w:val="single"/>
          <w:lang w:bidi="ar"/>
        </w:rPr>
        <w:t>2020年5月21日</w:t>
      </w:r>
      <w:r>
        <w:rPr>
          <w:rFonts w:hint="eastAsia" w:asciiTheme="minorEastAsia" w:hAnsiTheme="minorEastAsia" w:eastAsiaTheme="minorEastAsia" w:cstheme="minorEastAsia"/>
          <w:color w:val="auto"/>
          <w:sz w:val="24"/>
          <w:szCs w:val="24"/>
          <w:lang w:bidi="ar"/>
        </w:rPr>
        <w:t>，每天上午</w:t>
      </w:r>
      <w:r>
        <w:rPr>
          <w:rFonts w:hint="eastAsia" w:asciiTheme="minorEastAsia" w:hAnsiTheme="minorEastAsia" w:eastAsiaTheme="minorEastAsia" w:cstheme="minorEastAsia"/>
          <w:color w:val="auto"/>
          <w:sz w:val="24"/>
          <w:szCs w:val="24"/>
          <w:u w:val="single"/>
          <w:lang w:bidi="ar"/>
        </w:rPr>
        <w:t>9：30</w:t>
      </w:r>
      <w:r>
        <w:rPr>
          <w:rFonts w:hint="eastAsia" w:asciiTheme="minorEastAsia" w:hAnsiTheme="minorEastAsia" w:eastAsiaTheme="minorEastAsia" w:cstheme="minorEastAsia"/>
          <w:color w:val="auto"/>
          <w:sz w:val="24"/>
          <w:szCs w:val="24"/>
          <w:lang w:bidi="ar"/>
        </w:rPr>
        <w:t>至</w:t>
      </w:r>
      <w:r>
        <w:rPr>
          <w:rFonts w:hint="eastAsia" w:asciiTheme="minorEastAsia" w:hAnsiTheme="minorEastAsia" w:eastAsiaTheme="minorEastAsia" w:cstheme="minorEastAsia"/>
          <w:color w:val="auto"/>
          <w:sz w:val="24"/>
          <w:szCs w:val="24"/>
          <w:u w:val="single"/>
          <w:lang w:bidi="ar"/>
        </w:rPr>
        <w:t>11：30</w:t>
      </w:r>
      <w:r>
        <w:rPr>
          <w:rFonts w:hint="eastAsia" w:asciiTheme="minorEastAsia" w:hAnsiTheme="minorEastAsia" w:eastAsiaTheme="minorEastAsia" w:cstheme="minorEastAsia"/>
          <w:color w:val="auto"/>
          <w:sz w:val="24"/>
          <w:szCs w:val="24"/>
          <w:lang w:bidi="ar"/>
        </w:rPr>
        <w:t>，下午</w:t>
      </w:r>
      <w:r>
        <w:rPr>
          <w:rFonts w:hint="eastAsia" w:asciiTheme="minorEastAsia" w:hAnsiTheme="minorEastAsia" w:eastAsiaTheme="minorEastAsia" w:cstheme="minorEastAsia"/>
          <w:color w:val="auto"/>
          <w:sz w:val="24"/>
          <w:szCs w:val="24"/>
          <w:u w:val="single"/>
          <w:lang w:bidi="ar"/>
        </w:rPr>
        <w:t>　13：00</w:t>
      </w:r>
      <w:r>
        <w:rPr>
          <w:rFonts w:hint="eastAsia" w:asciiTheme="minorEastAsia" w:hAnsiTheme="minorEastAsia" w:eastAsiaTheme="minorEastAsia" w:cstheme="minorEastAsia"/>
          <w:color w:val="auto"/>
          <w:sz w:val="24"/>
          <w:szCs w:val="24"/>
          <w:lang w:bidi="ar"/>
        </w:rPr>
        <w:t>至</w:t>
      </w:r>
      <w:r>
        <w:rPr>
          <w:rFonts w:hint="eastAsia" w:asciiTheme="minorEastAsia" w:hAnsiTheme="minorEastAsia" w:eastAsiaTheme="minorEastAsia" w:cstheme="minorEastAsia"/>
          <w:color w:val="auto"/>
          <w:sz w:val="24"/>
          <w:szCs w:val="24"/>
          <w:u w:val="single"/>
          <w:lang w:bidi="ar"/>
        </w:rPr>
        <w:t>16：00</w:t>
      </w:r>
      <w:r>
        <w:rPr>
          <w:rFonts w:hint="eastAsia" w:asciiTheme="minorEastAsia" w:hAnsiTheme="minorEastAsia" w:eastAsiaTheme="minorEastAsia" w:cstheme="minorEastAsia"/>
          <w:color w:val="auto"/>
          <w:sz w:val="24"/>
          <w:szCs w:val="24"/>
          <w:lang w:bidi="ar"/>
        </w:rPr>
        <w:t>（北京时间，法定节假日除外 ）</w:t>
      </w:r>
    </w:p>
    <w:p>
      <w:pPr>
        <w:spacing w:line="360" w:lineRule="auto"/>
        <w:ind w:firstLine="539"/>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地点：邮件获取</w:t>
      </w:r>
    </w:p>
    <w:p>
      <w:pPr>
        <w:spacing w:line="360" w:lineRule="auto"/>
        <w:ind w:firstLine="539"/>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方式：鉴于在疫情特殊时期，供应商请以电邮形式获取电子版竞争性磋商文件。供应商须在公告规定期间向代理机构提供接收电子文件的电子邮箱，在邮件中提供授权委托书、加盖公章的被授权人身份证复印件，并注明所购竞争性磋商文件项目名称、项目编号、购买单位名称、纳税人识别号、详细通讯地址、联系人及电话。本项目代理机构联系人：张燕，联系电话：13810220182，电子信箱：65552886@qq.com。</w:t>
      </w:r>
    </w:p>
    <w:p>
      <w:pPr>
        <w:spacing w:line="360" w:lineRule="auto"/>
        <w:ind w:firstLine="539"/>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bidi="ar"/>
        </w:rPr>
        <w:t>售价：0元。</w:t>
      </w:r>
    </w:p>
    <w:p>
      <w:pPr>
        <w:spacing w:line="360" w:lineRule="auto"/>
        <w:outlineLvl w:val="9"/>
        <w:rPr>
          <w:rFonts w:ascii="黑体" w:hAnsi="宋体" w:cs="宋体"/>
          <w:b w:val="0"/>
          <w:color w:val="auto"/>
          <w:sz w:val="24"/>
          <w:szCs w:val="24"/>
        </w:rPr>
      </w:pPr>
      <w:bookmarkStart w:id="33" w:name="_Toc35393632"/>
      <w:bookmarkStart w:id="34" w:name="_Toc28359015"/>
      <w:bookmarkStart w:id="35" w:name="_Toc35393801"/>
      <w:bookmarkStart w:id="36" w:name="_Toc28359092"/>
      <w:bookmarkStart w:id="37" w:name="_Toc19853"/>
      <w:r>
        <w:rPr>
          <w:rFonts w:hint="eastAsia" w:ascii="黑体" w:hAnsi="宋体" w:cs="宋体"/>
          <w:b w:val="0"/>
          <w:color w:val="auto"/>
          <w:sz w:val="24"/>
          <w:szCs w:val="24"/>
        </w:rPr>
        <w:t>四、响应文件提交</w:t>
      </w:r>
      <w:bookmarkEnd w:id="33"/>
      <w:bookmarkEnd w:id="34"/>
      <w:bookmarkEnd w:id="35"/>
      <w:bookmarkEnd w:id="36"/>
      <w:bookmarkEnd w:id="37"/>
    </w:p>
    <w:p>
      <w:pPr>
        <w:spacing w:line="360" w:lineRule="auto"/>
        <w:ind w:firstLine="480" w:firstLineChars="200"/>
        <w:rPr>
          <w:rFonts w:asciiTheme="minorEastAsia" w:hAnsiTheme="minorEastAsia" w:eastAsiaTheme="minorEastAsia" w:cstheme="minorEastAsia"/>
          <w:bCs/>
          <w:color w:val="auto"/>
          <w:sz w:val="24"/>
          <w:szCs w:val="24"/>
          <w:u w:val="single"/>
        </w:rPr>
      </w:pPr>
      <w:r>
        <w:rPr>
          <w:rFonts w:hint="eastAsia" w:asciiTheme="minorEastAsia" w:hAnsiTheme="minorEastAsia" w:eastAsiaTheme="minorEastAsia" w:cstheme="minorEastAsia"/>
          <w:color w:val="auto"/>
          <w:sz w:val="24"/>
          <w:szCs w:val="24"/>
          <w:lang w:bidi="ar"/>
        </w:rPr>
        <w:t>截止时间：</w:t>
      </w:r>
      <w:r>
        <w:rPr>
          <w:rFonts w:hint="eastAsia" w:asciiTheme="minorEastAsia" w:hAnsiTheme="minorEastAsia" w:eastAsiaTheme="minorEastAsia" w:cstheme="minorEastAsia"/>
          <w:color w:val="auto"/>
          <w:sz w:val="24"/>
          <w:szCs w:val="24"/>
          <w:u w:val="single"/>
          <w:lang w:bidi="ar"/>
        </w:rPr>
        <w:t>2020</w:t>
      </w:r>
      <w:r>
        <w:rPr>
          <w:rFonts w:hint="eastAsia" w:asciiTheme="minorEastAsia" w:hAnsiTheme="minorEastAsia" w:eastAsiaTheme="minorEastAsia" w:cstheme="minorEastAsia"/>
          <w:bCs/>
          <w:color w:val="auto"/>
          <w:sz w:val="24"/>
          <w:szCs w:val="24"/>
          <w:u w:val="single"/>
          <w:lang w:bidi="ar"/>
        </w:rPr>
        <w:t>年6月2日9点30分</w:t>
      </w:r>
      <w:r>
        <w:rPr>
          <w:rFonts w:hint="eastAsia" w:asciiTheme="minorEastAsia" w:hAnsiTheme="minorEastAsia" w:eastAsiaTheme="minorEastAsia" w:cstheme="minorEastAsia"/>
          <w:bCs/>
          <w:color w:val="auto"/>
          <w:sz w:val="24"/>
          <w:szCs w:val="24"/>
          <w:lang w:bidi="ar"/>
        </w:rPr>
        <w:t>（北京时间）</w:t>
      </w:r>
    </w:p>
    <w:p>
      <w:pPr>
        <w:spacing w:line="360" w:lineRule="auto"/>
        <w:ind w:firstLine="480" w:firstLineChars="200"/>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地点：北京市东城区崇外大街新怡家园甲3号新怡商务楼A座907会议室</w:t>
      </w:r>
    </w:p>
    <w:p>
      <w:pPr>
        <w:spacing w:line="360" w:lineRule="auto"/>
        <w:outlineLvl w:val="9"/>
        <w:rPr>
          <w:rFonts w:ascii="黑体" w:hAnsi="宋体" w:cs="宋体"/>
          <w:b w:val="0"/>
          <w:color w:val="auto"/>
          <w:sz w:val="24"/>
          <w:szCs w:val="24"/>
        </w:rPr>
      </w:pPr>
      <w:bookmarkStart w:id="38" w:name="_Toc28359016"/>
      <w:bookmarkStart w:id="39" w:name="_Toc28359093"/>
      <w:bookmarkStart w:id="40" w:name="_Toc35393633"/>
      <w:bookmarkStart w:id="41" w:name="_Toc35393802"/>
      <w:bookmarkStart w:id="42" w:name="_Toc21423"/>
      <w:r>
        <w:rPr>
          <w:rFonts w:hint="eastAsia" w:ascii="黑体" w:hAnsi="宋体" w:cs="宋体"/>
          <w:b w:val="0"/>
          <w:color w:val="auto"/>
          <w:sz w:val="24"/>
          <w:szCs w:val="24"/>
        </w:rPr>
        <w:t>五、开启</w:t>
      </w:r>
      <w:bookmarkEnd w:id="38"/>
      <w:bookmarkEnd w:id="39"/>
      <w:bookmarkEnd w:id="40"/>
      <w:bookmarkEnd w:id="41"/>
      <w:bookmarkEnd w:id="42"/>
    </w:p>
    <w:p>
      <w:pPr>
        <w:spacing w:line="360" w:lineRule="auto"/>
        <w:ind w:firstLine="480" w:firstLineChars="200"/>
        <w:rPr>
          <w:rFonts w:asciiTheme="minorEastAsia" w:hAnsiTheme="minorEastAsia" w:eastAsiaTheme="minorEastAsia" w:cstheme="minorEastAsia"/>
          <w:bCs/>
          <w:color w:val="auto"/>
          <w:sz w:val="24"/>
          <w:szCs w:val="24"/>
          <w:u w:val="single"/>
        </w:rPr>
      </w:pPr>
      <w:r>
        <w:rPr>
          <w:rFonts w:hint="eastAsia" w:asciiTheme="minorEastAsia" w:hAnsiTheme="minorEastAsia" w:eastAsiaTheme="minorEastAsia" w:cstheme="minorEastAsia"/>
          <w:color w:val="auto"/>
          <w:sz w:val="24"/>
          <w:szCs w:val="24"/>
          <w:lang w:bidi="ar"/>
        </w:rPr>
        <w:t>时间：</w:t>
      </w:r>
      <w:r>
        <w:rPr>
          <w:rFonts w:hint="eastAsia" w:asciiTheme="minorEastAsia" w:hAnsiTheme="minorEastAsia" w:eastAsiaTheme="minorEastAsia" w:cstheme="minorEastAsia"/>
          <w:color w:val="auto"/>
          <w:sz w:val="24"/>
          <w:szCs w:val="24"/>
          <w:u w:val="single"/>
          <w:lang w:bidi="ar"/>
        </w:rPr>
        <w:t>2020</w:t>
      </w:r>
      <w:r>
        <w:rPr>
          <w:rFonts w:hint="eastAsia" w:asciiTheme="minorEastAsia" w:hAnsiTheme="minorEastAsia" w:eastAsiaTheme="minorEastAsia" w:cstheme="minorEastAsia"/>
          <w:bCs/>
          <w:color w:val="auto"/>
          <w:sz w:val="24"/>
          <w:szCs w:val="24"/>
          <w:u w:val="single"/>
          <w:lang w:bidi="ar"/>
        </w:rPr>
        <w:t>年6月2日9点30分</w:t>
      </w:r>
      <w:r>
        <w:rPr>
          <w:rFonts w:hint="eastAsia" w:asciiTheme="minorEastAsia" w:hAnsiTheme="minorEastAsia" w:eastAsiaTheme="minorEastAsia" w:cstheme="minorEastAsia"/>
          <w:bCs/>
          <w:color w:val="auto"/>
          <w:sz w:val="24"/>
          <w:szCs w:val="24"/>
          <w:lang w:bidi="ar"/>
        </w:rPr>
        <w:t>（北京时间）</w:t>
      </w:r>
    </w:p>
    <w:p>
      <w:pPr>
        <w:spacing w:line="360" w:lineRule="auto"/>
        <w:ind w:firstLine="480" w:firstLineChars="200"/>
        <w:rPr>
          <w:rFonts w:asciiTheme="minorEastAsia" w:hAnsiTheme="minorEastAsia" w:eastAsiaTheme="minorEastAsia" w:cstheme="minorEastAsia"/>
          <w:bCs/>
          <w:color w:val="auto"/>
          <w:sz w:val="24"/>
          <w:szCs w:val="24"/>
          <w:u w:val="single"/>
        </w:rPr>
      </w:pPr>
      <w:r>
        <w:rPr>
          <w:rFonts w:hint="eastAsia" w:asciiTheme="minorEastAsia" w:hAnsiTheme="minorEastAsia" w:eastAsiaTheme="minorEastAsia" w:cstheme="minorEastAsia"/>
          <w:color w:val="auto"/>
          <w:sz w:val="24"/>
          <w:szCs w:val="24"/>
          <w:lang w:bidi="ar"/>
        </w:rPr>
        <w:t>地点：北京市东城区崇外大街新怡家园甲3号新怡商务楼A座907会议室</w:t>
      </w:r>
    </w:p>
    <w:p>
      <w:pPr>
        <w:spacing w:line="360" w:lineRule="auto"/>
        <w:outlineLvl w:val="9"/>
        <w:rPr>
          <w:rFonts w:hint="eastAsia" w:ascii="黑体" w:hAnsi="宋体" w:cs="宋体"/>
          <w:b w:val="0"/>
          <w:color w:val="auto"/>
          <w:sz w:val="24"/>
          <w:szCs w:val="24"/>
        </w:rPr>
      </w:pPr>
      <w:bookmarkStart w:id="43" w:name="_Toc28359094"/>
      <w:bookmarkStart w:id="44" w:name="_Toc28359017"/>
      <w:bookmarkStart w:id="45" w:name="_Toc35393803"/>
      <w:bookmarkStart w:id="46" w:name="_Toc35393634"/>
      <w:bookmarkStart w:id="47" w:name="_Toc16044"/>
      <w:r>
        <w:rPr>
          <w:rFonts w:hint="eastAsia" w:ascii="黑体" w:hAnsi="宋体" w:cs="宋体"/>
          <w:b w:val="0"/>
          <w:color w:val="auto"/>
          <w:sz w:val="24"/>
          <w:szCs w:val="24"/>
        </w:rPr>
        <w:t>六、公告期限</w:t>
      </w:r>
      <w:bookmarkEnd w:id="43"/>
      <w:bookmarkEnd w:id="44"/>
      <w:bookmarkEnd w:id="45"/>
      <w:bookmarkEnd w:id="46"/>
      <w:bookmarkEnd w:id="47"/>
    </w:p>
    <w:p>
      <w:pPr>
        <w:spacing w:line="360" w:lineRule="auto"/>
        <w:ind w:firstLine="480" w:firstLineChars="200"/>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bidi="ar"/>
        </w:rPr>
        <w:t>自本公告发布之日起3个工作日。</w:t>
      </w:r>
    </w:p>
    <w:p>
      <w:pPr>
        <w:spacing w:line="360" w:lineRule="auto"/>
        <w:outlineLvl w:val="9"/>
        <w:rPr>
          <w:rFonts w:hint="eastAsia" w:ascii="黑体" w:hAnsi="宋体" w:cs="宋体"/>
          <w:b w:val="0"/>
          <w:color w:val="auto"/>
          <w:sz w:val="24"/>
          <w:szCs w:val="24"/>
        </w:rPr>
      </w:pPr>
      <w:bookmarkStart w:id="48" w:name="_Toc35393635"/>
      <w:bookmarkStart w:id="49" w:name="_Toc35393804"/>
      <w:bookmarkStart w:id="50" w:name="_Toc28921"/>
      <w:r>
        <w:rPr>
          <w:rFonts w:hint="eastAsia" w:ascii="黑体" w:hAnsi="宋体" w:cs="宋体"/>
          <w:b w:val="0"/>
          <w:color w:val="auto"/>
          <w:sz w:val="24"/>
          <w:szCs w:val="24"/>
          <w:lang w:val="en-US" w:eastAsia="zh-CN"/>
        </w:rPr>
        <w:t>七、</w:t>
      </w:r>
      <w:r>
        <w:rPr>
          <w:rFonts w:hint="eastAsia" w:ascii="黑体" w:hAnsi="宋体" w:cs="宋体"/>
          <w:b w:val="0"/>
          <w:color w:val="auto"/>
          <w:sz w:val="24"/>
          <w:szCs w:val="24"/>
        </w:rPr>
        <w:t>其他补充事宜</w:t>
      </w:r>
      <w:bookmarkEnd w:id="48"/>
      <w:bookmarkEnd w:id="49"/>
      <w:bookmarkEnd w:id="50"/>
    </w:p>
    <w:p>
      <w:pPr>
        <w:spacing w:line="360" w:lineRule="auto"/>
        <w:ind w:firstLine="480" w:firstLineChars="200"/>
        <w:rPr>
          <w:rFonts w:hint="eastAsia" w:asciiTheme="minorEastAsia" w:hAnsiTheme="minorEastAsia" w:eastAsiaTheme="minorEastAsia" w:cstheme="minorEastAsia"/>
          <w:color w:val="auto"/>
          <w:kern w:val="0"/>
          <w:sz w:val="24"/>
          <w:szCs w:val="24"/>
          <w:lang w:bidi="ar"/>
        </w:rPr>
      </w:pPr>
      <w:r>
        <w:rPr>
          <w:rFonts w:hint="eastAsia" w:asciiTheme="minorEastAsia" w:hAnsiTheme="minorEastAsia" w:eastAsiaTheme="minorEastAsia" w:cstheme="minorEastAsia"/>
          <w:color w:val="auto"/>
          <w:kern w:val="0"/>
          <w:sz w:val="24"/>
          <w:szCs w:val="24"/>
          <w:lang w:bidi="ar"/>
        </w:rPr>
        <w:t>采购项目需要落实的政府采购政策：《中华人民共和国政府采购法》、《中华人民共和国政府采购法实施条例》、《关于政府采购进口产品管理有关问题的通知》（财办库〔2008〕248号）、《工业和信息化部、国家统计局、国家发展和改革委员会、财政部关于印发中小企业划型标准规定的通知》（工信部联企业〔2011〕300号）、《关于政府采购支持监狱企业发展有关问题的通知》（财库〔2014〕68号）、《财政部民政部中国残疾人联合会关于促进残疾人就业政府采购政策的通知》（财库〔2017〕 141 号）、《关于印发环境标志产品政府采购品目清单的通知》（财库〔2019〕18号）、《关于印发节能产品政府采购品目清单的通知》（财库〔2019〕19号）及其它相关法律法规。</w:t>
      </w:r>
    </w:p>
    <w:p>
      <w:pPr>
        <w:spacing w:line="360" w:lineRule="auto"/>
        <w:outlineLvl w:val="9"/>
        <w:rPr>
          <w:rFonts w:hint="eastAsia" w:ascii="黑体" w:hAnsi="宋体" w:cs="宋体"/>
          <w:b w:val="0"/>
          <w:color w:val="auto"/>
          <w:sz w:val="24"/>
          <w:szCs w:val="24"/>
        </w:rPr>
      </w:pPr>
      <w:bookmarkStart w:id="51" w:name="_Toc35393805"/>
      <w:bookmarkStart w:id="52" w:name="_Toc28359018"/>
      <w:bookmarkStart w:id="53" w:name="_Toc35393636"/>
      <w:bookmarkStart w:id="54" w:name="_Toc28359095"/>
      <w:bookmarkStart w:id="55" w:name="_Toc32246"/>
      <w:r>
        <w:rPr>
          <w:rFonts w:hint="eastAsia" w:ascii="黑体" w:hAnsi="宋体" w:cs="宋体"/>
          <w:b w:val="0"/>
          <w:color w:val="auto"/>
          <w:sz w:val="24"/>
          <w:szCs w:val="24"/>
          <w:lang w:val="en-US" w:eastAsia="zh-CN"/>
        </w:rPr>
        <w:t>八、</w:t>
      </w:r>
      <w:r>
        <w:rPr>
          <w:rFonts w:hint="eastAsia" w:ascii="黑体" w:hAnsi="宋体" w:cs="宋体"/>
          <w:b w:val="0"/>
          <w:color w:val="auto"/>
          <w:sz w:val="24"/>
          <w:szCs w:val="24"/>
        </w:rPr>
        <w:t>凡对本次采购提出询问，请按以下方式联系。</w:t>
      </w:r>
      <w:bookmarkEnd w:id="51"/>
      <w:bookmarkEnd w:id="52"/>
      <w:bookmarkEnd w:id="53"/>
      <w:bookmarkEnd w:id="54"/>
      <w:bookmarkEnd w:id="55"/>
    </w:p>
    <w:p>
      <w:pPr>
        <w:spacing w:line="360" w:lineRule="auto"/>
        <w:outlineLvl w:val="9"/>
        <w:rPr>
          <w:rFonts w:hint="eastAsia" w:ascii="ˎ̥" w:hAnsi="ˎ̥" w:eastAsia="宋体" w:cs="宋体"/>
          <w:b w:val="0"/>
          <w:bCs w:val="0"/>
          <w:color w:val="auto"/>
          <w:kern w:val="0"/>
          <w:sz w:val="24"/>
          <w:szCs w:val="24"/>
        </w:rPr>
      </w:pPr>
      <w:bookmarkStart w:id="56" w:name="_Toc28359019"/>
      <w:bookmarkStart w:id="57" w:name="_Toc35393637"/>
      <w:bookmarkStart w:id="58" w:name="_Toc28359096"/>
      <w:bookmarkStart w:id="59" w:name="_Toc35393806"/>
      <w:bookmarkStart w:id="60" w:name="_Toc12864"/>
      <w:r>
        <w:rPr>
          <w:rFonts w:hint="eastAsia" w:ascii="ˎ̥" w:hAnsi="ˎ̥" w:eastAsia="宋体" w:cs="宋体"/>
          <w:b w:val="0"/>
          <w:bCs w:val="0"/>
          <w:color w:val="auto"/>
          <w:kern w:val="0"/>
          <w:sz w:val="24"/>
          <w:szCs w:val="24"/>
        </w:rPr>
        <w:t>1.采购人信息</w:t>
      </w:r>
      <w:bookmarkEnd w:id="56"/>
      <w:bookmarkEnd w:id="57"/>
      <w:bookmarkEnd w:id="58"/>
      <w:bookmarkEnd w:id="59"/>
      <w:bookmarkEnd w:id="60"/>
    </w:p>
    <w:p>
      <w:pPr>
        <w:spacing w:line="360" w:lineRule="auto"/>
        <w:ind w:left="1079" w:leftChars="371" w:hanging="300" w:hangingChars="125"/>
        <w:jc w:val="left"/>
        <w:rPr>
          <w:rFonts w:hint="eastAsia" w:ascii="ˎ̥" w:hAnsi="ˎ̥" w:cs="宋体"/>
          <w:color w:val="auto"/>
          <w:kern w:val="0"/>
          <w:sz w:val="24"/>
          <w:szCs w:val="24"/>
        </w:rPr>
      </w:pPr>
      <w:r>
        <w:rPr>
          <w:rFonts w:hint="eastAsia" w:ascii="ˎ̥" w:hAnsi="ˎ̥" w:cs="宋体"/>
          <w:color w:val="auto"/>
          <w:kern w:val="0"/>
          <w:sz w:val="24"/>
          <w:szCs w:val="24"/>
        </w:rPr>
        <w:t>名    称：北京市教育委员会</w:t>
      </w:r>
    </w:p>
    <w:p>
      <w:pPr>
        <w:spacing w:line="360" w:lineRule="auto"/>
        <w:ind w:left="1079" w:leftChars="371" w:hanging="300" w:hangingChars="125"/>
        <w:jc w:val="left"/>
        <w:rPr>
          <w:rFonts w:hint="eastAsia" w:ascii="ˎ̥" w:hAnsi="ˎ̥" w:cs="宋体"/>
          <w:color w:val="auto"/>
          <w:kern w:val="0"/>
          <w:sz w:val="24"/>
          <w:szCs w:val="24"/>
        </w:rPr>
      </w:pPr>
      <w:r>
        <w:rPr>
          <w:rFonts w:hint="eastAsia" w:ascii="ˎ̥" w:hAnsi="ˎ̥" w:cs="宋体"/>
          <w:color w:val="auto"/>
          <w:kern w:val="0"/>
          <w:sz w:val="24"/>
          <w:szCs w:val="24"/>
        </w:rPr>
        <w:t>地    址：北京市前门西大街109号</w:t>
      </w:r>
    </w:p>
    <w:p>
      <w:pPr>
        <w:spacing w:line="360" w:lineRule="auto"/>
        <w:ind w:left="1079" w:leftChars="371" w:hanging="300" w:hangingChars="125"/>
        <w:jc w:val="left"/>
        <w:rPr>
          <w:rFonts w:hint="eastAsia" w:ascii="ˎ̥" w:hAnsi="ˎ̥" w:cs="宋体"/>
          <w:color w:val="auto"/>
          <w:kern w:val="0"/>
          <w:sz w:val="24"/>
          <w:szCs w:val="24"/>
        </w:rPr>
      </w:pPr>
      <w:r>
        <w:rPr>
          <w:rFonts w:hint="eastAsia" w:ascii="ˎ̥" w:hAnsi="ˎ̥" w:cs="宋体"/>
          <w:color w:val="auto"/>
          <w:kern w:val="0"/>
          <w:sz w:val="24"/>
          <w:szCs w:val="24"/>
        </w:rPr>
        <w:t>联系方式：王俊杰 010-51994765</w:t>
      </w:r>
    </w:p>
    <w:p>
      <w:pPr>
        <w:spacing w:line="360" w:lineRule="auto"/>
        <w:outlineLvl w:val="9"/>
        <w:rPr>
          <w:rFonts w:hint="eastAsia" w:ascii="ˎ̥" w:hAnsi="ˎ̥" w:eastAsia="宋体" w:cs="宋体"/>
          <w:b w:val="0"/>
          <w:bCs w:val="0"/>
          <w:color w:val="auto"/>
          <w:kern w:val="0"/>
          <w:sz w:val="24"/>
          <w:szCs w:val="24"/>
        </w:rPr>
      </w:pPr>
      <w:bookmarkStart w:id="61" w:name="_Toc35393638"/>
      <w:bookmarkStart w:id="62" w:name="_Toc35393807"/>
      <w:bookmarkStart w:id="63" w:name="_Toc28359097"/>
      <w:bookmarkStart w:id="64" w:name="_Toc28359020"/>
      <w:bookmarkStart w:id="65" w:name="_Toc28366"/>
      <w:r>
        <w:rPr>
          <w:rFonts w:hint="eastAsia" w:ascii="ˎ̥" w:hAnsi="ˎ̥" w:eastAsia="宋体" w:cs="宋体"/>
          <w:b w:val="0"/>
          <w:bCs w:val="0"/>
          <w:color w:val="auto"/>
          <w:kern w:val="0"/>
          <w:sz w:val="24"/>
          <w:szCs w:val="24"/>
        </w:rPr>
        <w:t>2.采购代理机构信息</w:t>
      </w:r>
      <w:bookmarkEnd w:id="61"/>
      <w:bookmarkEnd w:id="62"/>
      <w:bookmarkEnd w:id="63"/>
      <w:bookmarkEnd w:id="64"/>
      <w:bookmarkEnd w:id="65"/>
    </w:p>
    <w:p>
      <w:pPr>
        <w:spacing w:line="360" w:lineRule="auto"/>
        <w:ind w:firstLine="720" w:firstLineChars="300"/>
        <w:rPr>
          <w:rFonts w:hint="eastAsia" w:ascii="ˎ̥" w:hAnsi="ˎ̥" w:cs="宋体"/>
          <w:color w:val="auto"/>
          <w:kern w:val="0"/>
          <w:sz w:val="24"/>
          <w:szCs w:val="24"/>
        </w:rPr>
      </w:pPr>
      <w:r>
        <w:rPr>
          <w:rFonts w:hint="eastAsia" w:ascii="ˎ̥" w:hAnsi="ˎ̥" w:cs="宋体"/>
          <w:color w:val="auto"/>
          <w:kern w:val="0"/>
          <w:sz w:val="24"/>
          <w:szCs w:val="24"/>
        </w:rPr>
        <w:t>名    称：北京北咨工程咨询有限公司</w:t>
      </w:r>
    </w:p>
    <w:p>
      <w:pPr>
        <w:spacing w:line="360" w:lineRule="auto"/>
        <w:ind w:firstLine="720" w:firstLineChars="300"/>
        <w:rPr>
          <w:rFonts w:hint="eastAsia" w:ascii="ˎ̥" w:hAnsi="ˎ̥" w:cs="宋体"/>
          <w:color w:val="auto"/>
          <w:kern w:val="0"/>
          <w:sz w:val="24"/>
          <w:szCs w:val="24"/>
        </w:rPr>
      </w:pPr>
      <w:r>
        <w:rPr>
          <w:rFonts w:hint="eastAsia" w:ascii="ˎ̥" w:hAnsi="ˎ̥" w:cs="宋体"/>
          <w:color w:val="auto"/>
          <w:kern w:val="0"/>
          <w:sz w:val="24"/>
          <w:szCs w:val="24"/>
        </w:rPr>
        <w:t>地　　址：北京市朝阳区八里庄陈家林九号院华腾世纪总部公园I座9号楼5层503室</w:t>
      </w:r>
    </w:p>
    <w:p>
      <w:pPr>
        <w:spacing w:line="360" w:lineRule="auto"/>
        <w:ind w:firstLine="720" w:firstLineChars="300"/>
        <w:rPr>
          <w:rFonts w:hint="eastAsia" w:ascii="ˎ̥" w:hAnsi="ˎ̥" w:cs="宋体"/>
          <w:color w:val="auto"/>
          <w:kern w:val="0"/>
          <w:sz w:val="24"/>
          <w:szCs w:val="24"/>
        </w:rPr>
      </w:pPr>
      <w:r>
        <w:rPr>
          <w:rFonts w:hint="eastAsia" w:ascii="ˎ̥" w:hAnsi="ˎ̥" w:cs="宋体"/>
          <w:color w:val="auto"/>
          <w:kern w:val="0"/>
          <w:sz w:val="24"/>
          <w:szCs w:val="24"/>
        </w:rPr>
        <w:t>联系方式：张燕 13810220182</w:t>
      </w:r>
    </w:p>
    <w:p>
      <w:pPr>
        <w:spacing w:line="360" w:lineRule="auto"/>
        <w:outlineLvl w:val="9"/>
        <w:rPr>
          <w:rFonts w:hint="eastAsia" w:ascii="ˎ̥" w:hAnsi="ˎ̥" w:eastAsia="宋体" w:cs="宋体"/>
          <w:b w:val="0"/>
          <w:bCs w:val="0"/>
          <w:color w:val="auto"/>
          <w:kern w:val="0"/>
          <w:sz w:val="24"/>
          <w:szCs w:val="24"/>
        </w:rPr>
      </w:pPr>
      <w:bookmarkStart w:id="66" w:name="_Toc35393808"/>
      <w:bookmarkStart w:id="67" w:name="_Toc35393639"/>
      <w:bookmarkStart w:id="68" w:name="_Toc28359098"/>
      <w:bookmarkStart w:id="69" w:name="_Toc28359021"/>
      <w:bookmarkStart w:id="70" w:name="_Toc11086"/>
      <w:r>
        <w:rPr>
          <w:rFonts w:hint="eastAsia" w:ascii="ˎ̥" w:hAnsi="ˎ̥" w:eastAsia="宋体" w:cs="宋体"/>
          <w:b w:val="0"/>
          <w:bCs w:val="0"/>
          <w:color w:val="auto"/>
          <w:kern w:val="0"/>
          <w:sz w:val="24"/>
          <w:szCs w:val="24"/>
        </w:rPr>
        <w:t>3.项目联系方式</w:t>
      </w:r>
      <w:bookmarkEnd w:id="66"/>
      <w:bookmarkEnd w:id="67"/>
      <w:bookmarkEnd w:id="68"/>
      <w:bookmarkEnd w:id="69"/>
      <w:bookmarkEnd w:id="70"/>
    </w:p>
    <w:p>
      <w:pPr>
        <w:pStyle w:val="31"/>
        <w:spacing w:before="0" w:beforeAutospacing="0" w:after="0" w:afterAutospacing="0" w:line="360" w:lineRule="auto"/>
        <w:ind w:firstLine="720" w:firstLineChars="300"/>
        <w:jc w:val="both"/>
        <w:rPr>
          <w:rFonts w:hint="eastAsia" w:ascii="ˎ̥" w:hAnsi="ˎ̥" w:cs="宋体"/>
          <w:color w:val="auto"/>
          <w:szCs w:val="24"/>
        </w:rPr>
      </w:pPr>
      <w:r>
        <w:rPr>
          <w:rFonts w:hint="eastAsia" w:ascii="ˎ̥" w:hAnsi="ˎ̥" w:cs="宋体"/>
          <w:color w:val="auto"/>
          <w:szCs w:val="24"/>
        </w:rPr>
        <w:t>项目联系人：张燕</w:t>
      </w:r>
    </w:p>
    <w:p>
      <w:pPr>
        <w:spacing w:line="360" w:lineRule="auto"/>
        <w:ind w:firstLine="720" w:firstLineChars="300"/>
        <w:outlineLvl w:val="9"/>
        <w:rPr>
          <w:rFonts w:hint="eastAsia" w:ascii="ˎ̥" w:hAnsi="ˎ̥" w:cs="宋体"/>
          <w:color w:val="auto"/>
          <w:kern w:val="0"/>
          <w:sz w:val="24"/>
          <w:szCs w:val="24"/>
        </w:rPr>
      </w:pPr>
      <w:r>
        <w:rPr>
          <w:rFonts w:hint="eastAsia" w:ascii="ˎ̥" w:hAnsi="ˎ̥" w:cs="宋体"/>
          <w:color w:val="auto"/>
          <w:kern w:val="0"/>
          <w:sz w:val="24"/>
          <w:szCs w:val="24"/>
        </w:rPr>
        <w:t>电　　 话：13810220182　</w:t>
      </w:r>
    </w:p>
    <w:p>
      <w:pPr>
        <w:spacing w:line="240" w:lineRule="auto"/>
        <w:ind w:firstLine="0" w:firstLineChars="0"/>
        <w:rPr>
          <w:rFonts w:hint="eastAsia" w:ascii="ˎ̥" w:hAnsi="ˎ̥" w:cs="宋体"/>
          <w:color w:val="auto"/>
          <w:kern w:val="0"/>
          <w:sz w:val="24"/>
          <w:szCs w:val="24"/>
        </w:rPr>
      </w:pPr>
      <w:r>
        <w:rPr>
          <w:rFonts w:hint="eastAsia" w:ascii="ˎ̥" w:hAnsi="ˎ̥" w:cs="宋体"/>
          <w:color w:val="auto"/>
          <w:kern w:val="0"/>
          <w:sz w:val="24"/>
          <w:szCs w:val="24"/>
        </w:rPr>
        <w:br w:type="page"/>
      </w:r>
    </w:p>
    <w:bookmarkEnd w:id="4"/>
    <w:bookmarkEnd w:id="5"/>
    <w:bookmarkEnd w:id="6"/>
    <w:bookmarkEnd w:id="7"/>
    <w:bookmarkEnd w:id="8"/>
    <w:bookmarkEnd w:id="9"/>
    <w:bookmarkEnd w:id="10"/>
    <w:bookmarkEnd w:id="11"/>
    <w:bookmarkEnd w:id="12"/>
    <w:p>
      <w:pPr>
        <w:spacing w:line="360" w:lineRule="auto"/>
        <w:ind w:firstLine="0" w:firstLineChars="0"/>
        <w:jc w:val="center"/>
        <w:outlineLvl w:val="0"/>
        <w:rPr>
          <w:rFonts w:hint="eastAsia" w:ascii="ˎ̥" w:hAnsi="ˎ̥" w:cs="宋体"/>
          <w:b/>
          <w:bCs/>
          <w:color w:val="auto"/>
          <w:kern w:val="0"/>
          <w:sz w:val="32"/>
          <w:szCs w:val="24"/>
        </w:rPr>
      </w:pPr>
      <w:bookmarkStart w:id="71" w:name="_Toc27064244"/>
      <w:bookmarkStart w:id="72" w:name="_Toc27061933"/>
      <w:bookmarkStart w:id="73" w:name="_Toc10908"/>
      <w:bookmarkStart w:id="74" w:name="_Toc16336"/>
      <w:bookmarkStart w:id="75" w:name="_Toc27877"/>
      <w:bookmarkStart w:id="76" w:name="_Toc16297"/>
      <w:bookmarkStart w:id="77" w:name="_Toc217446078"/>
      <w:bookmarkStart w:id="78" w:name="_Toc183582243"/>
      <w:bookmarkStart w:id="79" w:name="_Toc183682380"/>
      <w:r>
        <w:rPr>
          <w:rFonts w:hint="eastAsia" w:ascii="ˎ̥" w:hAnsi="ˎ̥" w:cs="宋体"/>
          <w:b/>
          <w:bCs/>
          <w:color w:val="auto"/>
          <w:kern w:val="0"/>
          <w:sz w:val="32"/>
          <w:szCs w:val="24"/>
        </w:rPr>
        <w:t>第二</w:t>
      </w:r>
      <w:r>
        <w:rPr>
          <w:rFonts w:hint="eastAsia" w:ascii="ˎ̥" w:hAnsi="ˎ̥" w:cs="宋体"/>
          <w:b/>
          <w:bCs/>
          <w:color w:val="auto"/>
          <w:kern w:val="0"/>
          <w:sz w:val="32"/>
          <w:szCs w:val="24"/>
          <w:lang w:val="en-US" w:eastAsia="zh-CN"/>
        </w:rPr>
        <w:t>章</w:t>
      </w:r>
      <w:r>
        <w:rPr>
          <w:rFonts w:hint="eastAsia" w:ascii="ˎ̥" w:hAnsi="ˎ̥" w:cs="宋体"/>
          <w:b/>
          <w:bCs/>
          <w:color w:val="auto"/>
          <w:kern w:val="0"/>
          <w:sz w:val="32"/>
          <w:szCs w:val="24"/>
        </w:rPr>
        <w:t xml:space="preserve">  供应商须知</w:t>
      </w:r>
      <w:bookmarkEnd w:id="71"/>
      <w:bookmarkEnd w:id="72"/>
      <w:bookmarkEnd w:id="73"/>
      <w:bookmarkEnd w:id="74"/>
      <w:bookmarkEnd w:id="75"/>
      <w:bookmarkEnd w:id="76"/>
    </w:p>
    <w:p>
      <w:pPr>
        <w:pStyle w:val="159"/>
        <w:outlineLvl w:val="9"/>
        <w:rPr>
          <w:color w:val="auto"/>
        </w:rPr>
      </w:pPr>
      <w:bookmarkStart w:id="80" w:name="_Toc27064245"/>
      <w:bookmarkStart w:id="81" w:name="_Toc27061934"/>
      <w:bookmarkStart w:id="82" w:name="_Toc25602"/>
      <w:bookmarkStart w:id="83" w:name="_Toc21081"/>
      <w:r>
        <w:rPr>
          <w:rFonts w:hint="eastAsia"/>
          <w:color w:val="auto"/>
        </w:rPr>
        <w:t>供应商须知前附表</w:t>
      </w:r>
      <w:bookmarkEnd w:id="80"/>
      <w:bookmarkEnd w:id="81"/>
      <w:bookmarkEnd w:id="82"/>
      <w:bookmarkEnd w:id="83"/>
    </w:p>
    <w:p>
      <w:pPr>
        <w:pStyle w:val="7"/>
        <w:spacing w:line="360" w:lineRule="auto"/>
        <w:contextualSpacing/>
        <w:rPr>
          <w:rFonts w:hAnsi="宋体"/>
          <w:color w:val="auto"/>
        </w:rPr>
      </w:pPr>
      <w:r>
        <w:rPr>
          <w:rFonts w:hint="eastAsia" w:hAnsi="宋体"/>
          <w:color w:val="auto"/>
        </w:rPr>
        <w:t>本表是关于竞争性磋商文件的具体资料，是对供应商须知的具体补充和修改，如有矛盾，应以本资料表为准。</w:t>
      </w:r>
    </w:p>
    <w:tbl>
      <w:tblPr>
        <w:tblStyle w:val="3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080"/>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序号</w:t>
            </w:r>
          </w:p>
        </w:tc>
        <w:tc>
          <w:tcPr>
            <w:tcW w:w="1080" w:type="dxa"/>
          </w:tcPr>
          <w:p>
            <w:pPr>
              <w:spacing w:line="360" w:lineRule="auto"/>
              <w:contextualSpacing/>
              <w:rPr>
                <w:rFonts w:ascii="宋体" w:hAnsi="宋体"/>
                <w:color w:val="auto"/>
              </w:rPr>
            </w:pPr>
            <w:r>
              <w:rPr>
                <w:rFonts w:hint="eastAsia" w:ascii="宋体" w:hAnsi="宋体"/>
                <w:color w:val="auto"/>
              </w:rPr>
              <w:t>条款号</w:t>
            </w:r>
          </w:p>
        </w:tc>
        <w:tc>
          <w:tcPr>
            <w:tcW w:w="6799" w:type="dxa"/>
          </w:tcPr>
          <w:p>
            <w:pPr>
              <w:spacing w:line="360" w:lineRule="auto"/>
              <w:contextualSpacing/>
              <w:jc w:val="center"/>
              <w:rPr>
                <w:rFonts w:ascii="宋体" w:hAnsi="宋体"/>
                <w:color w:val="auto"/>
              </w:rPr>
            </w:pPr>
            <w:r>
              <w:rPr>
                <w:rFonts w:hint="eastAsia" w:ascii="宋体" w:hAnsi="宋体"/>
                <w:color w:val="auto"/>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1</w:t>
            </w:r>
          </w:p>
        </w:tc>
        <w:tc>
          <w:tcPr>
            <w:tcW w:w="1080" w:type="dxa"/>
          </w:tcPr>
          <w:p>
            <w:pPr>
              <w:spacing w:line="360" w:lineRule="auto"/>
              <w:contextualSpacing/>
              <w:rPr>
                <w:rFonts w:ascii="宋体" w:hAnsi="宋体"/>
                <w:color w:val="auto"/>
              </w:rPr>
            </w:pPr>
          </w:p>
        </w:tc>
        <w:tc>
          <w:tcPr>
            <w:tcW w:w="6799" w:type="dxa"/>
          </w:tcPr>
          <w:p>
            <w:pPr>
              <w:rPr>
                <w:rFonts w:ascii="宋体" w:hAnsi="宋体"/>
                <w:color w:val="auto"/>
              </w:rPr>
            </w:pPr>
            <w:r>
              <w:rPr>
                <w:rFonts w:hint="eastAsia" w:ascii="宋体" w:hAnsi="宋体"/>
                <w:color w:val="auto"/>
              </w:rPr>
              <w:t>项目名称：</w:t>
            </w:r>
            <w:r>
              <w:rPr>
                <w:rFonts w:hint="eastAsia" w:ascii="宋体" w:hAnsi="宋体"/>
                <w:color w:val="auto"/>
                <w:lang w:bidi="ar"/>
              </w:rPr>
              <w:t>市教委立项项目-北京教育督导重点工作平面及媒体宣传报道项目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2</w:t>
            </w:r>
          </w:p>
        </w:tc>
        <w:tc>
          <w:tcPr>
            <w:tcW w:w="1080" w:type="dxa"/>
          </w:tcPr>
          <w:p>
            <w:pPr>
              <w:spacing w:line="360" w:lineRule="auto"/>
              <w:contextualSpacing/>
              <w:rPr>
                <w:rFonts w:ascii="宋体" w:hAnsi="宋体"/>
                <w:color w:val="auto"/>
              </w:rPr>
            </w:pPr>
            <w:r>
              <w:rPr>
                <w:rFonts w:hint="eastAsia" w:ascii="宋体" w:hAnsi="宋体"/>
                <w:color w:val="auto"/>
              </w:rPr>
              <w:t>2.1</w:t>
            </w:r>
          </w:p>
        </w:tc>
        <w:tc>
          <w:tcPr>
            <w:tcW w:w="6799" w:type="dxa"/>
          </w:tcPr>
          <w:p>
            <w:pPr>
              <w:spacing w:line="360" w:lineRule="auto"/>
              <w:rPr>
                <w:rFonts w:ascii="宋体" w:hAnsi="宋体"/>
                <w:color w:val="auto"/>
              </w:rPr>
            </w:pPr>
            <w:r>
              <w:rPr>
                <w:rFonts w:hint="eastAsia" w:ascii="宋体" w:hAnsi="宋体"/>
                <w:color w:val="auto"/>
              </w:rPr>
              <w:t>采购人名称： 北京市教育委员会</w:t>
            </w:r>
          </w:p>
          <w:p>
            <w:pPr>
              <w:spacing w:line="360" w:lineRule="auto"/>
              <w:rPr>
                <w:rFonts w:ascii="宋体" w:hAnsi="宋体"/>
                <w:color w:val="auto"/>
              </w:rPr>
            </w:pPr>
            <w:r>
              <w:rPr>
                <w:rFonts w:hint="eastAsia" w:ascii="宋体" w:hAnsi="宋体"/>
                <w:color w:val="auto"/>
              </w:rPr>
              <w:t>采购人地址： 北京市前门西大街109号</w:t>
            </w:r>
          </w:p>
          <w:p>
            <w:pPr>
              <w:spacing w:line="360" w:lineRule="auto"/>
              <w:rPr>
                <w:rFonts w:ascii="宋体" w:hAnsi="宋体"/>
                <w:color w:val="auto"/>
              </w:rPr>
            </w:pPr>
            <w:r>
              <w:rPr>
                <w:rFonts w:hint="eastAsia" w:ascii="宋体" w:hAnsi="宋体"/>
                <w:color w:val="auto"/>
              </w:rPr>
              <w:t>采购人联系人： 王俊杰</w:t>
            </w:r>
          </w:p>
          <w:p>
            <w:pPr>
              <w:spacing w:line="360" w:lineRule="auto"/>
              <w:rPr>
                <w:rFonts w:ascii="宋体" w:hAnsi="宋体"/>
                <w:color w:val="auto"/>
              </w:rPr>
            </w:pPr>
            <w:r>
              <w:rPr>
                <w:rFonts w:hint="eastAsia" w:ascii="宋体" w:hAnsi="宋体"/>
                <w:color w:val="auto"/>
              </w:rPr>
              <w:t>采购人联系电话： 010-66074765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3</w:t>
            </w:r>
          </w:p>
        </w:tc>
        <w:tc>
          <w:tcPr>
            <w:tcW w:w="1080" w:type="dxa"/>
          </w:tcPr>
          <w:p>
            <w:pPr>
              <w:spacing w:line="360" w:lineRule="auto"/>
              <w:contextualSpacing/>
              <w:rPr>
                <w:rFonts w:ascii="宋体" w:hAnsi="宋体"/>
                <w:color w:val="auto"/>
              </w:rPr>
            </w:pPr>
            <w:r>
              <w:rPr>
                <w:rFonts w:hint="eastAsia" w:ascii="宋体" w:hAnsi="宋体"/>
                <w:color w:val="auto"/>
              </w:rPr>
              <w:t>2.1</w:t>
            </w:r>
          </w:p>
        </w:tc>
        <w:tc>
          <w:tcPr>
            <w:tcW w:w="6799" w:type="dxa"/>
          </w:tcPr>
          <w:p>
            <w:pPr>
              <w:pStyle w:val="19"/>
              <w:spacing w:line="360" w:lineRule="auto"/>
              <w:contextualSpacing/>
              <w:rPr>
                <w:rFonts w:hAnsi="宋体"/>
                <w:color w:val="auto"/>
              </w:rPr>
            </w:pPr>
            <w:r>
              <w:rPr>
                <w:rFonts w:hint="eastAsia" w:hAnsi="宋体"/>
                <w:color w:val="auto"/>
              </w:rPr>
              <w:t>采购代理机构：北京北咨工程咨询有限公司</w:t>
            </w:r>
          </w:p>
          <w:p>
            <w:pPr>
              <w:spacing w:line="360" w:lineRule="auto"/>
              <w:contextualSpacing/>
              <w:rPr>
                <w:rFonts w:ascii="宋体" w:hAnsi="宋体"/>
                <w:color w:val="auto"/>
              </w:rPr>
            </w:pPr>
            <w:r>
              <w:rPr>
                <w:rFonts w:hint="eastAsia" w:ascii="宋体" w:hAnsi="宋体"/>
                <w:color w:val="auto"/>
              </w:rPr>
              <w:t>采购代理机构地址：北京市朝阳区八里庄陈家林九号院华腾世纪总部公园I座（9号楼）503室</w:t>
            </w:r>
          </w:p>
          <w:p>
            <w:pPr>
              <w:spacing w:line="360" w:lineRule="auto"/>
              <w:contextualSpacing/>
              <w:rPr>
                <w:rFonts w:ascii="宋体" w:hAnsi="宋体"/>
                <w:color w:val="auto"/>
              </w:rPr>
            </w:pPr>
            <w:r>
              <w:rPr>
                <w:rFonts w:hint="eastAsia" w:ascii="宋体" w:hAnsi="宋体"/>
                <w:color w:val="auto"/>
              </w:rPr>
              <w:t>采购代理机构联系人： 张燕</w:t>
            </w:r>
          </w:p>
          <w:p>
            <w:pPr>
              <w:spacing w:line="360" w:lineRule="auto"/>
              <w:contextualSpacing/>
              <w:rPr>
                <w:rFonts w:ascii="宋体" w:hAnsi="宋体"/>
                <w:color w:val="auto"/>
              </w:rPr>
            </w:pPr>
            <w:r>
              <w:rPr>
                <w:rFonts w:hint="eastAsia" w:ascii="宋体" w:hAnsi="宋体"/>
                <w:color w:val="auto"/>
              </w:rPr>
              <w:t>采购代理机构联系电话： 13810220182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4</w:t>
            </w:r>
          </w:p>
        </w:tc>
        <w:tc>
          <w:tcPr>
            <w:tcW w:w="1080" w:type="dxa"/>
          </w:tcPr>
          <w:p>
            <w:pPr>
              <w:spacing w:line="360" w:lineRule="auto"/>
              <w:contextualSpacing/>
              <w:rPr>
                <w:rFonts w:ascii="宋体" w:hAnsi="宋体"/>
                <w:color w:val="auto"/>
              </w:rPr>
            </w:pPr>
            <w:r>
              <w:rPr>
                <w:rFonts w:hint="eastAsia" w:ascii="宋体" w:hAnsi="宋体"/>
                <w:color w:val="auto"/>
              </w:rPr>
              <w:t>13</w:t>
            </w:r>
          </w:p>
        </w:tc>
        <w:tc>
          <w:tcPr>
            <w:tcW w:w="6799" w:type="dxa"/>
          </w:tcPr>
          <w:p>
            <w:pPr>
              <w:spacing w:line="360" w:lineRule="auto"/>
              <w:contextualSpacing/>
              <w:rPr>
                <w:rFonts w:ascii="宋体" w:hAnsi="宋体"/>
                <w:color w:val="auto"/>
              </w:rPr>
            </w:pPr>
            <w:r>
              <w:rPr>
                <w:rFonts w:hint="eastAsia" w:ascii="宋体" w:hAnsi="宋体"/>
                <w:color w:val="auto"/>
              </w:rPr>
              <w:t>磋商保证金：本项目不要求。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5</w:t>
            </w:r>
          </w:p>
        </w:tc>
        <w:tc>
          <w:tcPr>
            <w:tcW w:w="1080" w:type="dxa"/>
          </w:tcPr>
          <w:p>
            <w:pPr>
              <w:spacing w:line="360" w:lineRule="auto"/>
              <w:contextualSpacing/>
              <w:rPr>
                <w:rFonts w:ascii="宋体" w:hAnsi="宋体"/>
                <w:color w:val="auto"/>
              </w:rPr>
            </w:pPr>
            <w:r>
              <w:rPr>
                <w:rFonts w:hint="eastAsia" w:ascii="宋体" w:hAnsi="宋体"/>
                <w:color w:val="auto"/>
              </w:rPr>
              <w:t>14.1</w:t>
            </w:r>
          </w:p>
        </w:tc>
        <w:tc>
          <w:tcPr>
            <w:tcW w:w="6799" w:type="dxa"/>
          </w:tcPr>
          <w:p>
            <w:pPr>
              <w:spacing w:line="360" w:lineRule="auto"/>
              <w:contextualSpacing/>
              <w:rPr>
                <w:rFonts w:ascii="宋体" w:hAnsi="宋体"/>
                <w:color w:val="auto"/>
              </w:rPr>
            </w:pPr>
            <w:r>
              <w:rPr>
                <w:rFonts w:hint="eastAsia" w:ascii="宋体" w:hAnsi="宋体"/>
                <w:color w:val="auto"/>
              </w:rPr>
              <w:t>磋商有效期：投标截止之日后60天内</w:t>
            </w:r>
          </w:p>
          <w:p>
            <w:pPr>
              <w:spacing w:line="360" w:lineRule="auto"/>
              <w:contextualSpacing/>
              <w:rPr>
                <w:rFonts w:ascii="宋体" w:hAnsi="宋体"/>
                <w:color w:val="auto"/>
              </w:rPr>
            </w:pPr>
            <w:r>
              <w:rPr>
                <w:rFonts w:hint="eastAsia" w:ascii="宋体" w:hAnsi="宋体"/>
                <w:color w:val="auto"/>
              </w:rPr>
              <w:t>磋商有效期不满足要求的投标将被视为非响应性投标而予以拒绝。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6</w:t>
            </w:r>
          </w:p>
        </w:tc>
        <w:tc>
          <w:tcPr>
            <w:tcW w:w="1080" w:type="dxa"/>
          </w:tcPr>
          <w:p>
            <w:pPr>
              <w:spacing w:line="360" w:lineRule="auto"/>
              <w:contextualSpacing/>
              <w:rPr>
                <w:rFonts w:ascii="宋体" w:hAnsi="宋体"/>
                <w:color w:val="auto"/>
              </w:rPr>
            </w:pPr>
            <w:r>
              <w:rPr>
                <w:rFonts w:hint="eastAsia" w:ascii="宋体" w:hAnsi="宋体"/>
                <w:color w:val="auto"/>
              </w:rPr>
              <w:t>16.1</w:t>
            </w:r>
          </w:p>
        </w:tc>
        <w:tc>
          <w:tcPr>
            <w:tcW w:w="6799" w:type="dxa"/>
          </w:tcPr>
          <w:p>
            <w:pPr>
              <w:spacing w:line="360" w:lineRule="auto"/>
              <w:contextualSpacing/>
              <w:rPr>
                <w:rFonts w:ascii="宋体" w:hAnsi="宋体"/>
                <w:color w:val="auto"/>
              </w:rPr>
            </w:pPr>
            <w:r>
              <w:rPr>
                <w:rFonts w:hint="eastAsia" w:ascii="宋体" w:hAnsi="宋体"/>
                <w:color w:val="auto"/>
              </w:rPr>
              <w:t>响应文件正本份数：1份  副本份数：2份</w:t>
            </w:r>
          </w:p>
          <w:p>
            <w:pPr>
              <w:spacing w:line="360" w:lineRule="auto"/>
              <w:contextualSpacing/>
              <w:rPr>
                <w:rFonts w:ascii="宋体" w:hAnsi="宋体"/>
                <w:color w:val="auto"/>
              </w:rPr>
            </w:pPr>
            <w:r>
              <w:rPr>
                <w:rFonts w:hint="eastAsia" w:ascii="宋体" w:hAnsi="宋体"/>
                <w:color w:val="auto"/>
              </w:rPr>
              <w:t>供应商须提供响应文件电子版1套，并承诺响应文件(正本复印扫描件)电子版内容与纸质文件内容的一致性，并对此承担全部法律责任。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7</w:t>
            </w:r>
          </w:p>
        </w:tc>
        <w:tc>
          <w:tcPr>
            <w:tcW w:w="1080" w:type="dxa"/>
          </w:tcPr>
          <w:p>
            <w:pPr>
              <w:spacing w:line="360" w:lineRule="auto"/>
              <w:contextualSpacing/>
              <w:rPr>
                <w:rFonts w:ascii="宋体" w:hAnsi="宋体"/>
                <w:color w:val="auto"/>
              </w:rPr>
            </w:pPr>
            <w:r>
              <w:rPr>
                <w:rFonts w:hint="eastAsia" w:ascii="宋体" w:hAnsi="宋体"/>
                <w:color w:val="auto"/>
              </w:rPr>
              <w:t>16.3</w:t>
            </w:r>
          </w:p>
        </w:tc>
        <w:tc>
          <w:tcPr>
            <w:tcW w:w="6799" w:type="dxa"/>
          </w:tcPr>
          <w:p>
            <w:pPr>
              <w:spacing w:line="360" w:lineRule="auto"/>
              <w:contextualSpacing/>
              <w:rPr>
                <w:rFonts w:ascii="宋体" w:hAnsi="宋体"/>
                <w:color w:val="auto"/>
              </w:rPr>
            </w:pPr>
            <w:r>
              <w:rPr>
                <w:rFonts w:hint="eastAsia" w:ascii="宋体" w:hAnsi="宋体"/>
                <w:color w:val="auto"/>
              </w:rPr>
              <w:t>磋商一览表也须单独封装在一个信封内与其他响应文件分装，并同时递交采购代理机构。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spacing w:line="360" w:lineRule="auto"/>
              <w:contextualSpacing/>
              <w:rPr>
                <w:rFonts w:ascii="宋体" w:hAnsi="宋体"/>
                <w:color w:val="auto"/>
              </w:rPr>
            </w:pPr>
            <w:r>
              <w:rPr>
                <w:rFonts w:hint="eastAsia" w:ascii="宋体" w:hAnsi="宋体"/>
                <w:color w:val="auto"/>
              </w:rPr>
              <w:t>8</w:t>
            </w:r>
          </w:p>
        </w:tc>
        <w:tc>
          <w:tcPr>
            <w:tcW w:w="1080" w:type="dxa"/>
          </w:tcPr>
          <w:p>
            <w:pPr>
              <w:spacing w:line="360" w:lineRule="auto"/>
              <w:contextualSpacing/>
              <w:rPr>
                <w:rFonts w:ascii="宋体" w:hAnsi="宋体"/>
                <w:color w:val="auto"/>
              </w:rPr>
            </w:pPr>
            <w:r>
              <w:rPr>
                <w:rFonts w:hint="eastAsia" w:ascii="宋体" w:hAnsi="宋体"/>
                <w:color w:val="auto"/>
              </w:rPr>
              <w:t>20</w:t>
            </w:r>
          </w:p>
        </w:tc>
        <w:tc>
          <w:tcPr>
            <w:tcW w:w="6799" w:type="dxa"/>
          </w:tcPr>
          <w:p>
            <w:pPr>
              <w:spacing w:line="360" w:lineRule="auto"/>
              <w:contextualSpacing/>
              <w:rPr>
                <w:rFonts w:ascii="宋体" w:hAnsi="宋体"/>
                <w:color w:val="auto"/>
              </w:rPr>
            </w:pPr>
            <w:r>
              <w:rPr>
                <w:rFonts w:hint="eastAsia" w:ascii="宋体" w:hAnsi="宋体" w:cs="宋体"/>
                <w:color w:val="auto"/>
                <w:kern w:val="0"/>
              </w:rPr>
              <w:t>参加磋商时，供应商代表若是法定代表人，需持身份证原件及复印件；投标代表若不是法定代表人需持有《法定代表人授权书》和身份证原件及复印件。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5" w:type="dxa"/>
            <w:gridSpan w:val="3"/>
          </w:tcPr>
          <w:p>
            <w:pPr>
              <w:spacing w:line="360" w:lineRule="auto"/>
              <w:contextualSpacing/>
              <w:rPr>
                <w:rFonts w:ascii="宋体" w:hAnsi="宋体"/>
                <w:b/>
                <w:color w:val="auto"/>
              </w:rPr>
            </w:pPr>
            <w:r>
              <w:rPr>
                <w:rFonts w:hint="eastAsia" w:ascii="宋体" w:hAnsi="宋体"/>
                <w:b/>
                <w:color w:val="auto"/>
              </w:rPr>
              <w:t>适用于本供应商须知的额外增加的变动，下列情况的磋商将被拒绝：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restart"/>
          </w:tcPr>
          <w:p>
            <w:pPr>
              <w:spacing w:line="360" w:lineRule="auto"/>
              <w:contextualSpacing/>
              <w:rPr>
                <w:rFonts w:ascii="宋体" w:hAnsi="宋体"/>
                <w:color w:val="auto"/>
              </w:rPr>
            </w:pPr>
          </w:p>
        </w:tc>
        <w:tc>
          <w:tcPr>
            <w:tcW w:w="1080" w:type="dxa"/>
            <w:vMerge w:val="restart"/>
          </w:tcPr>
          <w:p>
            <w:pPr>
              <w:spacing w:line="360" w:lineRule="auto"/>
              <w:contextualSpacing/>
              <w:rPr>
                <w:rFonts w:ascii="宋体" w:hAnsi="宋体"/>
                <w:color w:val="auto"/>
              </w:rPr>
            </w:pPr>
          </w:p>
        </w:tc>
        <w:tc>
          <w:tcPr>
            <w:tcW w:w="6799" w:type="dxa"/>
            <w:vAlign w:val="center"/>
          </w:tcPr>
          <w:p>
            <w:pPr>
              <w:spacing w:line="360" w:lineRule="auto"/>
              <w:contextualSpacing/>
              <w:rPr>
                <w:rFonts w:ascii="宋体" w:hAnsi="宋体"/>
                <w:b/>
                <w:color w:val="auto"/>
              </w:rPr>
            </w:pPr>
            <w:r>
              <w:rPr>
                <w:rFonts w:hint="eastAsia" w:ascii="宋体" w:hAnsi="宋体"/>
                <w:b/>
                <w:color w:val="auto"/>
              </w:rPr>
              <w:t>响应文件逾期送达的或者未送达指定地点的；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vAlign w:val="center"/>
          </w:tcPr>
          <w:p>
            <w:pPr>
              <w:spacing w:line="360" w:lineRule="auto"/>
              <w:contextualSpacing/>
              <w:rPr>
                <w:rFonts w:ascii="宋体" w:hAnsi="宋体"/>
                <w:b/>
                <w:color w:val="auto"/>
              </w:rPr>
            </w:pPr>
            <w:r>
              <w:rPr>
                <w:rFonts w:hint="eastAsia" w:ascii="宋体" w:hAnsi="宋体"/>
                <w:b/>
                <w:color w:val="auto"/>
              </w:rPr>
              <w:t>未按照磋商文件规定要求密封、签署、盖章的；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vAlign w:val="center"/>
          </w:tcPr>
          <w:p>
            <w:pPr>
              <w:spacing w:line="360" w:lineRule="auto"/>
              <w:contextualSpacing/>
              <w:rPr>
                <w:rFonts w:ascii="宋体" w:hAnsi="宋体"/>
                <w:b/>
                <w:color w:val="auto"/>
              </w:rPr>
            </w:pPr>
            <w:r>
              <w:rPr>
                <w:rFonts w:hint="eastAsia" w:ascii="宋体" w:hAnsi="宋体"/>
                <w:b/>
                <w:color w:val="auto"/>
              </w:rPr>
              <w:t>磋商有效期不足的；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vAlign w:val="center"/>
          </w:tcPr>
          <w:p>
            <w:pPr>
              <w:rPr>
                <w:rFonts w:ascii="宋体" w:hAnsi="宋体"/>
                <w:b/>
                <w:color w:val="auto"/>
              </w:rPr>
            </w:pPr>
            <w:r>
              <w:rPr>
                <w:rFonts w:hint="eastAsia" w:ascii="宋体" w:hAnsi="宋体"/>
                <w:b/>
                <w:color w:val="auto"/>
              </w:rPr>
              <w:t>未按磋商文件要求提供</w:t>
            </w:r>
          </w:p>
          <w:p>
            <w:pPr>
              <w:rPr>
                <w:rFonts w:ascii="宋体" w:hAnsi="宋体"/>
                <w:bCs/>
                <w:color w:val="auto"/>
              </w:rPr>
            </w:pPr>
            <w:bookmarkStart w:id="84" w:name="_Hlk27396011"/>
            <w:r>
              <w:rPr>
                <w:rFonts w:hint="eastAsia" w:ascii="宋体" w:hAnsi="宋体"/>
                <w:bCs/>
                <w:color w:val="auto"/>
              </w:rPr>
              <w:t>附件1 磋商申请函</w:t>
            </w:r>
          </w:p>
          <w:p>
            <w:pPr>
              <w:rPr>
                <w:rFonts w:ascii="宋体" w:hAnsi="宋体"/>
                <w:bCs/>
                <w:color w:val="auto"/>
              </w:rPr>
            </w:pPr>
            <w:r>
              <w:rPr>
                <w:rFonts w:hint="eastAsia" w:ascii="宋体" w:hAnsi="宋体"/>
                <w:bCs/>
                <w:color w:val="auto"/>
              </w:rPr>
              <w:t>附件2 磋商一览表（格式）</w:t>
            </w:r>
          </w:p>
          <w:p>
            <w:pPr>
              <w:rPr>
                <w:rFonts w:ascii="宋体" w:hAnsi="宋体"/>
                <w:bCs/>
                <w:color w:val="auto"/>
              </w:rPr>
            </w:pPr>
            <w:r>
              <w:rPr>
                <w:rFonts w:hint="eastAsia" w:ascii="宋体" w:hAnsi="宋体"/>
                <w:bCs/>
                <w:color w:val="auto"/>
              </w:rPr>
              <w:t>附件3分项报价表</w:t>
            </w:r>
          </w:p>
          <w:p>
            <w:pPr>
              <w:rPr>
                <w:rFonts w:ascii="宋体" w:hAnsi="宋体"/>
                <w:bCs/>
                <w:color w:val="auto"/>
              </w:rPr>
            </w:pPr>
            <w:r>
              <w:rPr>
                <w:rFonts w:hint="eastAsia" w:ascii="宋体" w:hAnsi="宋体"/>
                <w:bCs/>
                <w:color w:val="auto"/>
              </w:rPr>
              <w:t>附件4商务条款偏离表格式</w:t>
            </w:r>
          </w:p>
          <w:p>
            <w:pPr>
              <w:rPr>
                <w:rFonts w:ascii="宋体" w:hAnsi="宋体"/>
                <w:bCs/>
                <w:color w:val="auto"/>
              </w:rPr>
            </w:pPr>
            <w:r>
              <w:rPr>
                <w:rFonts w:hint="eastAsia" w:ascii="宋体" w:hAnsi="宋体"/>
                <w:bCs/>
                <w:color w:val="auto"/>
              </w:rPr>
              <w:t>附件5 技术偏离表</w:t>
            </w:r>
          </w:p>
          <w:p>
            <w:pPr>
              <w:rPr>
                <w:rFonts w:ascii="宋体" w:hAnsi="宋体"/>
                <w:bCs/>
                <w:color w:val="auto"/>
              </w:rPr>
            </w:pPr>
            <w:r>
              <w:rPr>
                <w:rFonts w:hint="eastAsia" w:ascii="宋体" w:hAnsi="宋体"/>
                <w:bCs/>
                <w:color w:val="auto"/>
              </w:rPr>
              <w:t>附件6成交服务费承诺书</w:t>
            </w:r>
          </w:p>
          <w:p>
            <w:pPr>
              <w:rPr>
                <w:rFonts w:ascii="宋体" w:hAnsi="宋体"/>
                <w:bCs/>
                <w:color w:val="auto"/>
              </w:rPr>
            </w:pPr>
            <w:r>
              <w:rPr>
                <w:rFonts w:hint="eastAsia" w:ascii="宋体" w:hAnsi="宋体"/>
                <w:bCs/>
                <w:color w:val="auto"/>
              </w:rPr>
              <w:t>附件7资格证明文件</w:t>
            </w:r>
          </w:p>
          <w:p>
            <w:pPr>
              <w:rPr>
                <w:rFonts w:ascii="宋体" w:hAnsi="宋体"/>
                <w:bCs/>
                <w:color w:val="auto"/>
              </w:rPr>
            </w:pPr>
            <w:r>
              <w:rPr>
                <w:rFonts w:hint="eastAsia" w:ascii="宋体" w:hAnsi="宋体"/>
                <w:bCs/>
                <w:color w:val="auto"/>
              </w:rPr>
              <w:t>附件7.1 法定代表人授权书</w:t>
            </w:r>
          </w:p>
          <w:p>
            <w:pPr>
              <w:rPr>
                <w:rFonts w:ascii="宋体" w:hAnsi="宋体"/>
                <w:bCs/>
                <w:color w:val="auto"/>
              </w:rPr>
            </w:pPr>
            <w:r>
              <w:rPr>
                <w:rFonts w:hint="eastAsia" w:ascii="宋体" w:hAnsi="宋体"/>
                <w:bCs/>
                <w:color w:val="auto"/>
              </w:rPr>
              <w:t>附件7.2 营业执照或法人证书（复印件加盖单位公章）</w:t>
            </w:r>
          </w:p>
          <w:p>
            <w:pPr>
              <w:rPr>
                <w:rFonts w:ascii="宋体" w:hAnsi="宋体"/>
                <w:bCs/>
                <w:color w:val="auto"/>
              </w:rPr>
            </w:pPr>
            <w:r>
              <w:rPr>
                <w:rFonts w:hint="eastAsia" w:ascii="宋体" w:hAnsi="宋体"/>
                <w:bCs/>
                <w:color w:val="auto"/>
              </w:rPr>
              <w:t>附件7.3 供应商资格声明</w:t>
            </w:r>
          </w:p>
          <w:p>
            <w:pPr>
              <w:rPr>
                <w:rFonts w:ascii="宋体" w:hAnsi="宋体"/>
                <w:bCs/>
                <w:color w:val="auto"/>
              </w:rPr>
            </w:pPr>
            <w:r>
              <w:rPr>
                <w:rFonts w:hint="eastAsia" w:ascii="宋体" w:hAnsi="宋体"/>
                <w:bCs/>
                <w:color w:val="auto"/>
              </w:rPr>
              <w:t>附件7.4供应商的资信证明</w:t>
            </w:r>
          </w:p>
          <w:p>
            <w:pPr>
              <w:rPr>
                <w:rFonts w:ascii="宋体" w:hAnsi="宋体"/>
                <w:bCs/>
                <w:color w:val="auto"/>
              </w:rPr>
            </w:pPr>
            <w:r>
              <w:rPr>
                <w:rFonts w:hint="eastAsia" w:ascii="宋体" w:hAnsi="宋体"/>
                <w:bCs/>
                <w:color w:val="auto"/>
              </w:rPr>
              <w:t>附件7.5社会保障资金缴纳记录</w:t>
            </w:r>
          </w:p>
          <w:p>
            <w:pPr>
              <w:rPr>
                <w:rFonts w:ascii="宋体" w:hAnsi="宋体"/>
                <w:bCs/>
                <w:color w:val="auto"/>
              </w:rPr>
            </w:pPr>
            <w:r>
              <w:rPr>
                <w:rFonts w:hint="eastAsia" w:ascii="宋体" w:hAnsi="宋体"/>
                <w:bCs/>
                <w:color w:val="auto"/>
              </w:rPr>
              <w:t>附件7.6依法缴纳税收的完税证明</w:t>
            </w:r>
          </w:p>
          <w:p>
            <w:pPr>
              <w:rPr>
                <w:rFonts w:ascii="宋体" w:hAnsi="宋体"/>
                <w:b/>
                <w:color w:val="auto"/>
              </w:rPr>
            </w:pPr>
            <w:r>
              <w:rPr>
                <w:rFonts w:hint="eastAsia" w:ascii="宋体" w:hAnsi="宋体"/>
                <w:bCs/>
                <w:color w:val="auto"/>
              </w:rPr>
              <w:t>附件7.7</w:t>
            </w:r>
            <w:r>
              <w:rPr>
                <w:rFonts w:hint="eastAsia" w:ascii="宋体" w:hAnsi="宋体"/>
                <w:color w:val="auto"/>
              </w:rPr>
              <w:t>参加政府采购活动近三年内，在经营活动中没有重大违法记录声明</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vAlign w:val="center"/>
          </w:tcPr>
          <w:p>
            <w:pPr>
              <w:spacing w:line="360" w:lineRule="auto"/>
              <w:contextualSpacing/>
              <w:rPr>
                <w:rFonts w:ascii="宋体" w:hAnsi="宋体"/>
                <w:b/>
                <w:color w:val="auto"/>
              </w:rPr>
            </w:pPr>
            <w:r>
              <w:rPr>
                <w:rFonts w:hint="eastAsia" w:ascii="宋体" w:hAnsi="宋体"/>
                <w:b/>
                <w:color w:val="auto"/>
              </w:rPr>
              <w:t>提供虚假文件的；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tcBorders>
              <w:bottom w:val="single" w:color="auto" w:sz="4" w:space="0"/>
            </w:tcBorders>
            <w:vAlign w:val="center"/>
          </w:tcPr>
          <w:p>
            <w:pPr>
              <w:spacing w:line="360" w:lineRule="auto"/>
              <w:contextualSpacing/>
              <w:rPr>
                <w:rFonts w:ascii="宋体" w:hAnsi="宋体"/>
                <w:b/>
                <w:color w:val="auto"/>
              </w:rPr>
            </w:pPr>
            <w:r>
              <w:rPr>
                <w:rFonts w:hint="eastAsia" w:ascii="宋体" w:hAnsi="宋体"/>
                <w:b/>
                <w:color w:val="auto"/>
              </w:rPr>
              <w:t>故意隐瞒不良业绩的；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6" w:type="dxa"/>
            <w:vMerge w:val="continue"/>
          </w:tcPr>
          <w:p>
            <w:pPr>
              <w:spacing w:line="360" w:lineRule="auto"/>
              <w:contextualSpacing/>
              <w:rPr>
                <w:rFonts w:ascii="宋体" w:hAnsi="宋体"/>
                <w:color w:val="auto"/>
              </w:rPr>
            </w:pPr>
          </w:p>
        </w:tc>
        <w:tc>
          <w:tcPr>
            <w:tcW w:w="1080" w:type="dxa"/>
            <w:vMerge w:val="continue"/>
          </w:tcPr>
          <w:p>
            <w:pPr>
              <w:spacing w:line="360" w:lineRule="auto"/>
              <w:contextualSpacing/>
              <w:rPr>
                <w:rFonts w:ascii="宋体" w:hAnsi="宋体"/>
                <w:color w:val="auto"/>
              </w:rPr>
            </w:pPr>
          </w:p>
        </w:tc>
        <w:tc>
          <w:tcPr>
            <w:tcW w:w="6799" w:type="dxa"/>
            <w:vAlign w:val="center"/>
          </w:tcPr>
          <w:p>
            <w:pPr>
              <w:spacing w:line="360" w:lineRule="auto"/>
              <w:contextualSpacing/>
              <w:rPr>
                <w:rFonts w:ascii="宋体" w:hAnsi="宋体"/>
                <w:b/>
                <w:color w:val="auto"/>
              </w:rPr>
            </w:pPr>
            <w:r>
              <w:rPr>
                <w:rFonts w:hint="eastAsia" w:ascii="宋体" w:hAnsi="宋体"/>
                <w:b/>
                <w:color w:val="auto"/>
              </w:rPr>
              <w:t>不符合法律、法规和磋商文件中规定的其他实质性要求的；</w:t>
            </w:r>
          </w:p>
          <w:p>
            <w:pPr>
              <w:spacing w:line="360" w:lineRule="auto"/>
              <w:contextualSpacing/>
              <w:rPr>
                <w:rFonts w:ascii="宋体" w:hAnsi="宋体"/>
                <w:b/>
                <w:color w:val="auto"/>
              </w:rPr>
            </w:pPr>
            <w:r>
              <w:rPr>
                <w:rFonts w:hint="eastAsia" w:ascii="宋体" w:hAnsi="宋体"/>
                <w:b/>
                <w:color w:val="auto"/>
              </w:rPr>
              <w:t>超出项目预算金额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8755" w:type="dxa"/>
            <w:gridSpan w:val="3"/>
          </w:tcPr>
          <w:p>
            <w:pPr>
              <w:spacing w:line="360" w:lineRule="auto"/>
              <w:contextualSpacing/>
              <w:rPr>
                <w:rFonts w:ascii="宋体" w:hAnsi="宋体"/>
                <w:b/>
                <w:color w:val="auto"/>
              </w:rPr>
            </w:pPr>
            <w:r>
              <w:rPr>
                <w:rFonts w:hint="eastAsia"/>
                <w:color w:val="auto"/>
              </w:rPr>
              <w:t>采购项目需要落实的政府采购政策：《中华人民共和国政府采购法》、《中华人民共和国政府采购法实施条例》、《关于政府采购进口产品管理有关问题的通知》（财办库〔</w:t>
            </w:r>
            <w:r>
              <w:rPr>
                <w:color w:val="auto"/>
              </w:rPr>
              <w:t>2008</w:t>
            </w:r>
            <w:r>
              <w:rPr>
                <w:rFonts w:hint="eastAsia"/>
                <w:color w:val="auto"/>
              </w:rPr>
              <w:t>〕</w:t>
            </w:r>
            <w:r>
              <w:rPr>
                <w:color w:val="auto"/>
              </w:rPr>
              <w:t>248</w:t>
            </w:r>
            <w:r>
              <w:rPr>
                <w:rFonts w:hint="eastAsia"/>
                <w:color w:val="auto"/>
              </w:rPr>
              <w:t>号）、《工业和信息化部、国家统计局、国家发展和改革委员会、财政部关于印发中小企业划型标准规定的通知》（工信部联企业〔</w:t>
            </w:r>
            <w:r>
              <w:rPr>
                <w:color w:val="auto"/>
              </w:rPr>
              <w:t>2011</w:t>
            </w:r>
            <w:r>
              <w:rPr>
                <w:rFonts w:hint="eastAsia"/>
                <w:color w:val="auto"/>
              </w:rPr>
              <w:t>〕</w:t>
            </w:r>
            <w:r>
              <w:rPr>
                <w:color w:val="auto"/>
              </w:rPr>
              <w:t>300</w:t>
            </w:r>
            <w:r>
              <w:rPr>
                <w:rFonts w:hint="eastAsia"/>
                <w:color w:val="auto"/>
              </w:rPr>
              <w:t>号）、《关于政府采购支持监狱企业发展有关问题的通知》（财库〔</w:t>
            </w:r>
            <w:r>
              <w:rPr>
                <w:color w:val="auto"/>
              </w:rPr>
              <w:t>2014</w:t>
            </w:r>
            <w:r>
              <w:rPr>
                <w:rFonts w:hint="eastAsia"/>
                <w:color w:val="auto"/>
              </w:rPr>
              <w:t>〕</w:t>
            </w:r>
            <w:r>
              <w:rPr>
                <w:color w:val="auto"/>
              </w:rPr>
              <w:t>68</w:t>
            </w:r>
            <w:r>
              <w:rPr>
                <w:rFonts w:hint="eastAsia"/>
                <w:color w:val="auto"/>
              </w:rPr>
              <w:t>号）、《财政部民政部中国残疾人联合会关于促进残疾人就业政府采购政策的通知》（财库〔</w:t>
            </w:r>
            <w:r>
              <w:rPr>
                <w:color w:val="auto"/>
              </w:rPr>
              <w:t>2017</w:t>
            </w:r>
            <w:r>
              <w:rPr>
                <w:rFonts w:hint="eastAsia"/>
                <w:color w:val="auto"/>
              </w:rPr>
              <w:t>〕</w:t>
            </w:r>
            <w:r>
              <w:rPr>
                <w:color w:val="auto"/>
              </w:rPr>
              <w:t xml:space="preserve"> 141 </w:t>
            </w:r>
            <w:r>
              <w:rPr>
                <w:rFonts w:hint="eastAsia"/>
                <w:color w:val="auto"/>
              </w:rPr>
              <w:t>号）、《关于印发环境标志产品政府采购品目清单的通知》（财库〔</w:t>
            </w:r>
            <w:r>
              <w:rPr>
                <w:color w:val="auto"/>
              </w:rPr>
              <w:t>2019</w:t>
            </w:r>
            <w:r>
              <w:rPr>
                <w:rFonts w:hint="eastAsia"/>
                <w:color w:val="auto"/>
              </w:rPr>
              <w:t>〕</w:t>
            </w:r>
            <w:r>
              <w:rPr>
                <w:color w:val="auto"/>
              </w:rPr>
              <w:t>18</w:t>
            </w:r>
            <w:r>
              <w:rPr>
                <w:rFonts w:hint="eastAsia"/>
                <w:color w:val="auto"/>
              </w:rPr>
              <w:t>号）、《关于印发节能产品政府采购品目清单的通知》（财库〔</w:t>
            </w:r>
            <w:r>
              <w:rPr>
                <w:color w:val="auto"/>
              </w:rPr>
              <w:t>2019</w:t>
            </w:r>
            <w:r>
              <w:rPr>
                <w:rFonts w:hint="eastAsia"/>
                <w:color w:val="auto"/>
              </w:rPr>
              <w:t>〕</w:t>
            </w:r>
            <w:r>
              <w:rPr>
                <w:color w:val="auto"/>
              </w:rPr>
              <w:t>19</w:t>
            </w:r>
            <w:r>
              <w:rPr>
                <w:rFonts w:hint="eastAsia"/>
                <w:color w:val="auto"/>
              </w:rPr>
              <w:t>号）及其它相关法律法规。</w:t>
            </w:r>
          </w:p>
        </w:tc>
      </w:tr>
    </w:tbl>
    <w:p>
      <w:pPr>
        <w:pStyle w:val="3"/>
        <w:keepNext w:val="0"/>
        <w:pageBreakBefore/>
        <w:rPr>
          <w:rFonts w:ascii="宋体" w:hAnsi="宋体" w:eastAsia="宋体"/>
          <w:color w:val="auto"/>
          <w:sz w:val="21"/>
          <w:szCs w:val="21"/>
        </w:rPr>
      </w:pPr>
      <w:bookmarkStart w:id="85" w:name="_Toc27064246"/>
      <w:bookmarkStart w:id="86" w:name="_Toc27061935"/>
      <w:bookmarkStart w:id="87" w:name="_Toc24892"/>
      <w:bookmarkStart w:id="88" w:name="_Toc20709"/>
      <w:r>
        <w:rPr>
          <w:rFonts w:hint="eastAsia" w:ascii="宋体" w:hAnsi="宋体" w:eastAsia="宋体"/>
          <w:color w:val="auto"/>
          <w:sz w:val="21"/>
          <w:szCs w:val="21"/>
        </w:rPr>
        <w:t>供应商须知</w:t>
      </w:r>
      <w:bookmarkEnd w:id="85"/>
      <w:bookmarkEnd w:id="86"/>
      <w:bookmarkEnd w:id="87"/>
      <w:bookmarkEnd w:id="88"/>
    </w:p>
    <w:p>
      <w:pPr>
        <w:pStyle w:val="160"/>
        <w:rPr>
          <w:color w:val="auto"/>
        </w:rPr>
      </w:pPr>
      <w:bookmarkStart w:id="89" w:name="_Toc27061936"/>
      <w:bookmarkStart w:id="90" w:name="_Toc27064247"/>
      <w:bookmarkStart w:id="91" w:name="_Toc23998"/>
      <w:bookmarkStart w:id="92" w:name="_Toc1802"/>
      <w:r>
        <w:rPr>
          <w:rFonts w:hint="eastAsia"/>
          <w:color w:val="auto"/>
        </w:rPr>
        <w:t>一、总 则</w:t>
      </w:r>
      <w:bookmarkEnd w:id="89"/>
      <w:bookmarkEnd w:id="90"/>
      <w:bookmarkEnd w:id="91"/>
      <w:bookmarkEnd w:id="92"/>
    </w:p>
    <w:p>
      <w:pPr>
        <w:pStyle w:val="4"/>
        <w:spacing w:before="0" w:after="0" w:line="360" w:lineRule="auto"/>
        <w:contextualSpacing/>
        <w:rPr>
          <w:rFonts w:ascii="宋体" w:hAnsi="宋体"/>
          <w:color w:val="auto"/>
          <w:sz w:val="21"/>
          <w:szCs w:val="21"/>
        </w:rPr>
      </w:pPr>
      <w:bookmarkStart w:id="93" w:name="_Toc27064248"/>
      <w:bookmarkStart w:id="94" w:name="_Toc27061937"/>
      <w:bookmarkStart w:id="95" w:name="_Toc3349"/>
      <w:bookmarkStart w:id="96" w:name="_Toc28524"/>
      <w:r>
        <w:rPr>
          <w:rFonts w:hint="eastAsia" w:ascii="宋体" w:hAnsi="宋体"/>
          <w:color w:val="auto"/>
          <w:sz w:val="21"/>
          <w:szCs w:val="21"/>
        </w:rPr>
        <w:t>1、使用范围：</w:t>
      </w:r>
      <w:bookmarkEnd w:id="93"/>
      <w:bookmarkEnd w:id="94"/>
      <w:bookmarkEnd w:id="95"/>
      <w:bookmarkEnd w:id="96"/>
    </w:p>
    <w:p>
      <w:pPr>
        <w:spacing w:line="360" w:lineRule="auto"/>
        <w:contextualSpacing/>
        <w:rPr>
          <w:rFonts w:ascii="宋体" w:hAnsi="宋体"/>
          <w:color w:val="auto"/>
        </w:rPr>
      </w:pPr>
      <w:r>
        <w:rPr>
          <w:rFonts w:hint="eastAsia" w:ascii="宋体" w:hAnsi="宋体"/>
          <w:color w:val="auto"/>
        </w:rPr>
        <w:t>1.1响应文件仅适用于磋商邀请中所叙述项目的服务购买。</w:t>
      </w:r>
    </w:p>
    <w:p>
      <w:pPr>
        <w:pStyle w:val="4"/>
        <w:spacing w:before="0" w:after="0" w:line="360" w:lineRule="auto"/>
        <w:contextualSpacing/>
        <w:rPr>
          <w:rFonts w:ascii="宋体" w:hAnsi="宋体"/>
          <w:color w:val="auto"/>
          <w:sz w:val="21"/>
          <w:szCs w:val="21"/>
        </w:rPr>
      </w:pPr>
      <w:bookmarkStart w:id="97" w:name="_Toc27064249"/>
      <w:bookmarkStart w:id="98" w:name="_Toc27061938"/>
      <w:bookmarkStart w:id="99" w:name="_Toc19501"/>
      <w:bookmarkStart w:id="100" w:name="_Toc30018"/>
      <w:r>
        <w:rPr>
          <w:rFonts w:hint="eastAsia" w:ascii="宋体" w:hAnsi="宋体"/>
          <w:color w:val="auto"/>
          <w:sz w:val="21"/>
          <w:szCs w:val="21"/>
        </w:rPr>
        <w:t>2、定义</w:t>
      </w:r>
      <w:bookmarkEnd w:id="97"/>
      <w:bookmarkEnd w:id="98"/>
      <w:bookmarkEnd w:id="99"/>
      <w:bookmarkEnd w:id="100"/>
    </w:p>
    <w:p>
      <w:pPr>
        <w:spacing w:line="360" w:lineRule="auto"/>
        <w:contextualSpacing/>
        <w:rPr>
          <w:rFonts w:ascii="宋体" w:hAnsi="宋体"/>
          <w:color w:val="auto"/>
        </w:rPr>
      </w:pPr>
      <w:r>
        <w:rPr>
          <w:rFonts w:hint="eastAsia" w:ascii="宋体" w:hAnsi="宋体"/>
          <w:color w:val="auto"/>
        </w:rPr>
        <w:t>2.1“采购人”系指北京市教育委员会，“采购代理机构”系指  北京北咨工程咨询有限公司。</w:t>
      </w:r>
    </w:p>
    <w:p>
      <w:pPr>
        <w:spacing w:line="360" w:lineRule="auto"/>
        <w:ind w:left="420" w:hanging="420" w:hangingChars="200"/>
        <w:contextualSpacing/>
        <w:rPr>
          <w:rFonts w:ascii="宋体" w:hAnsi="宋体"/>
          <w:color w:val="auto"/>
        </w:rPr>
      </w:pPr>
      <w:r>
        <w:rPr>
          <w:rFonts w:hint="eastAsia" w:ascii="宋体" w:hAnsi="宋体"/>
          <w:color w:val="auto"/>
        </w:rPr>
        <w:t>2.2“供应商”系指响应采购人要求，向采购人或采购代理机构递交响应文件的服务商或供应商。</w:t>
      </w:r>
    </w:p>
    <w:p>
      <w:pPr>
        <w:spacing w:line="360" w:lineRule="auto"/>
        <w:contextualSpacing/>
        <w:rPr>
          <w:rFonts w:ascii="宋体" w:hAnsi="宋体"/>
          <w:color w:val="auto"/>
        </w:rPr>
      </w:pPr>
      <w:r>
        <w:rPr>
          <w:rFonts w:hint="eastAsia" w:ascii="宋体" w:hAnsi="宋体"/>
          <w:color w:val="auto"/>
        </w:rPr>
        <w:t>2.3“服务”系指磋商文件规定供应商须承担的相关服务。</w:t>
      </w:r>
    </w:p>
    <w:p>
      <w:pPr>
        <w:pStyle w:val="4"/>
        <w:spacing w:before="0" w:after="0" w:line="360" w:lineRule="auto"/>
        <w:contextualSpacing/>
        <w:rPr>
          <w:rFonts w:ascii="宋体" w:hAnsi="宋体"/>
          <w:color w:val="auto"/>
          <w:sz w:val="21"/>
          <w:szCs w:val="21"/>
        </w:rPr>
      </w:pPr>
      <w:bookmarkStart w:id="101" w:name="_Toc27064250"/>
      <w:bookmarkStart w:id="102" w:name="_Toc27061939"/>
      <w:bookmarkStart w:id="103" w:name="_Toc13433"/>
      <w:bookmarkStart w:id="104" w:name="_Toc18555"/>
      <w:r>
        <w:rPr>
          <w:rFonts w:hint="eastAsia" w:ascii="宋体" w:hAnsi="宋体"/>
          <w:color w:val="auto"/>
          <w:sz w:val="21"/>
          <w:szCs w:val="21"/>
        </w:rPr>
        <w:t>3、合格的供应商</w:t>
      </w:r>
      <w:bookmarkEnd w:id="101"/>
      <w:bookmarkEnd w:id="102"/>
      <w:bookmarkEnd w:id="103"/>
      <w:bookmarkEnd w:id="104"/>
    </w:p>
    <w:p>
      <w:pPr>
        <w:spacing w:line="360" w:lineRule="auto"/>
        <w:ind w:left="420" w:hanging="420" w:hangingChars="200"/>
        <w:contextualSpacing/>
        <w:rPr>
          <w:rFonts w:ascii="宋体" w:hAnsi="宋体"/>
          <w:color w:val="auto"/>
        </w:rPr>
      </w:pPr>
      <w:r>
        <w:rPr>
          <w:rFonts w:hint="eastAsia" w:ascii="宋体" w:hAnsi="宋体"/>
          <w:color w:val="auto"/>
        </w:rPr>
        <w:t>3.1在中华人民共和国境内注册，能够独立承担民事责任，</w:t>
      </w:r>
      <w:r>
        <w:rPr>
          <w:rFonts w:hint="eastAsia" w:ascii="宋体" w:hAnsi="宋体" w:cs="Arial"/>
          <w:bCs/>
          <w:color w:val="auto"/>
        </w:rPr>
        <w:t>能够提供磋商文件中要求的服务内容，并具有相应能力的机构</w:t>
      </w:r>
      <w:r>
        <w:rPr>
          <w:rFonts w:hint="eastAsia" w:ascii="宋体" w:hAnsi="宋体"/>
          <w:color w:val="auto"/>
        </w:rPr>
        <w:t>。</w:t>
      </w:r>
    </w:p>
    <w:p>
      <w:pPr>
        <w:spacing w:line="360" w:lineRule="auto"/>
        <w:rPr>
          <w:rFonts w:ascii="宋体" w:hAnsi="宋体"/>
          <w:color w:val="auto"/>
        </w:rPr>
      </w:pPr>
      <w:r>
        <w:rPr>
          <w:rFonts w:hint="eastAsia" w:ascii="宋体" w:hAnsi="宋体"/>
          <w:color w:val="auto"/>
        </w:rPr>
        <w:t>3.2政府采购活动中查询及使用投标人信用记录的具体要求为：投标人未被列入失信被执行人、重大税收违法案件当事人名单、政府采购严重违法失信行为记录名单。</w:t>
      </w:r>
    </w:p>
    <w:p>
      <w:pPr>
        <w:spacing w:line="360" w:lineRule="auto"/>
        <w:ind w:left="426" w:hanging="11"/>
        <w:rPr>
          <w:rFonts w:ascii="宋体" w:hAnsi="宋体"/>
          <w:color w:val="auto"/>
        </w:rPr>
      </w:pPr>
      <w:r>
        <w:rPr>
          <w:rFonts w:hint="eastAsia" w:ascii="宋体" w:hAnsi="宋体"/>
          <w:color w:val="auto"/>
        </w:rPr>
        <w:t>1）查询渠道：“信用中国”网站（www.creditchina.gov.cn）和中国政府采购网（www.ccgp.gov.cn）；</w:t>
      </w:r>
    </w:p>
    <w:p>
      <w:pPr>
        <w:spacing w:line="360" w:lineRule="auto"/>
        <w:ind w:left="426" w:hanging="11"/>
        <w:rPr>
          <w:rFonts w:ascii="宋体" w:hAnsi="宋体"/>
          <w:color w:val="auto"/>
        </w:rPr>
      </w:pPr>
      <w:r>
        <w:rPr>
          <w:rFonts w:hint="eastAsia" w:ascii="宋体" w:hAnsi="宋体"/>
          <w:color w:val="auto"/>
        </w:rPr>
        <w:t>2）截止时点：投标截止时间；</w:t>
      </w:r>
    </w:p>
    <w:p>
      <w:pPr>
        <w:spacing w:line="360" w:lineRule="auto"/>
        <w:ind w:left="426" w:hanging="11"/>
        <w:rPr>
          <w:rFonts w:ascii="宋体" w:hAnsi="宋体"/>
          <w:color w:val="auto"/>
        </w:rPr>
      </w:pPr>
      <w:r>
        <w:rPr>
          <w:rFonts w:hint="eastAsia" w:ascii="宋体" w:hAnsi="宋体"/>
          <w:color w:val="auto"/>
        </w:rPr>
        <w:t>3）信用信息查询记录和证据留存具体方式：经评标委员会确认的查询结果网页截图作为查询记录和证据，与其他采购文件一并保存；</w:t>
      </w:r>
    </w:p>
    <w:p>
      <w:pPr>
        <w:spacing w:line="360" w:lineRule="auto"/>
        <w:ind w:left="420" w:hanging="420" w:hangingChars="200"/>
        <w:contextualSpacing/>
        <w:rPr>
          <w:rFonts w:ascii="宋体" w:hAnsi="宋体"/>
          <w:color w:val="auto"/>
        </w:rPr>
      </w:pPr>
      <w:r>
        <w:rPr>
          <w:rFonts w:hint="eastAsia" w:ascii="宋体" w:hAnsi="宋体"/>
          <w:color w:val="auto"/>
        </w:rPr>
        <w:t xml:space="preserve">    4）信用信息的使用规则：经评标委员会认定的被列入失信被执行人、重大税收违法案件当事人名单、政府采购严重违法失信行为记录名单及其他不符合《中华人民共和国政府采购法》第二十二条规定条件的投标人，将拒绝其参与政府采购活动，按无效投标处理。</w:t>
      </w:r>
    </w:p>
    <w:p>
      <w:pPr>
        <w:pStyle w:val="14"/>
        <w:spacing w:after="0" w:line="360" w:lineRule="auto"/>
        <w:contextualSpacing/>
        <w:rPr>
          <w:rFonts w:ascii="宋体" w:hAnsi="宋体"/>
          <w:bCs/>
          <w:color w:val="auto"/>
        </w:rPr>
      </w:pPr>
      <w:r>
        <w:rPr>
          <w:rFonts w:hint="eastAsia" w:ascii="宋体" w:hAnsi="宋体"/>
          <w:color w:val="auto"/>
        </w:rPr>
        <w:t>3.3凡受托为采购本次招标的服务提供整体设计、规范编制或者项目管理、监理、检测等服务的供应商，不得再参加该采购项目的其他采购活动。</w:t>
      </w:r>
    </w:p>
    <w:p>
      <w:pPr>
        <w:pStyle w:val="4"/>
        <w:spacing w:before="0" w:after="0" w:line="360" w:lineRule="auto"/>
        <w:contextualSpacing/>
        <w:rPr>
          <w:rFonts w:ascii="宋体" w:hAnsi="宋体"/>
          <w:color w:val="auto"/>
          <w:sz w:val="21"/>
          <w:szCs w:val="21"/>
        </w:rPr>
      </w:pPr>
      <w:bookmarkStart w:id="105" w:name="_Toc27061940"/>
      <w:bookmarkStart w:id="106" w:name="_Toc27064251"/>
      <w:bookmarkStart w:id="107" w:name="_Toc9225"/>
      <w:bookmarkStart w:id="108" w:name="_Toc31633"/>
      <w:r>
        <w:rPr>
          <w:rFonts w:hint="eastAsia" w:ascii="宋体" w:hAnsi="宋体"/>
          <w:color w:val="auto"/>
          <w:sz w:val="21"/>
          <w:szCs w:val="21"/>
        </w:rPr>
        <w:t>4、费用</w:t>
      </w:r>
      <w:bookmarkEnd w:id="105"/>
      <w:bookmarkEnd w:id="106"/>
      <w:bookmarkEnd w:id="107"/>
      <w:bookmarkEnd w:id="108"/>
    </w:p>
    <w:p>
      <w:pPr>
        <w:spacing w:line="360" w:lineRule="auto"/>
        <w:ind w:left="420" w:hanging="420" w:hangingChars="200"/>
        <w:contextualSpacing/>
        <w:rPr>
          <w:rFonts w:ascii="宋体" w:hAnsi="宋体"/>
          <w:color w:val="auto"/>
        </w:rPr>
      </w:pPr>
      <w:r>
        <w:rPr>
          <w:rFonts w:hint="eastAsia" w:ascii="宋体" w:hAnsi="宋体"/>
          <w:color w:val="auto"/>
        </w:rPr>
        <w:t>4.1供应商应承担所有与编写和提交响应文件有关的费用，无论招标过程中的做法和结果如何，采购人在任何情况下均无义务和责任承担这些费用。</w:t>
      </w:r>
    </w:p>
    <w:p>
      <w:pPr>
        <w:pStyle w:val="160"/>
        <w:rPr>
          <w:color w:val="auto"/>
        </w:rPr>
      </w:pPr>
      <w:bookmarkStart w:id="109" w:name="_Toc27061941"/>
      <w:bookmarkStart w:id="110" w:name="_Toc27064252"/>
      <w:bookmarkStart w:id="111" w:name="_Toc20593"/>
      <w:bookmarkStart w:id="112" w:name="_Toc2873"/>
      <w:r>
        <w:rPr>
          <w:rFonts w:hint="eastAsia"/>
          <w:color w:val="auto"/>
        </w:rPr>
        <w:t>二、发布竞争性磋商公告</w:t>
      </w:r>
      <w:bookmarkEnd w:id="109"/>
      <w:bookmarkEnd w:id="110"/>
      <w:bookmarkEnd w:id="111"/>
      <w:bookmarkEnd w:id="112"/>
    </w:p>
    <w:p>
      <w:pPr>
        <w:spacing w:line="360" w:lineRule="auto"/>
        <w:ind w:left="420" w:hanging="420" w:hangingChars="200"/>
        <w:contextualSpacing/>
        <w:rPr>
          <w:rFonts w:ascii="宋体" w:hAnsi="宋体"/>
          <w:color w:val="auto"/>
        </w:rPr>
      </w:pPr>
      <w:r>
        <w:rPr>
          <w:rFonts w:hint="eastAsia" w:ascii="宋体" w:hAnsi="宋体"/>
          <w:color w:val="auto"/>
        </w:rPr>
        <w:t>本项目采用竞争性磋商的方式，采购代理机构将在财政部门指定的政府采购信息发布媒体发布竞争性磋商公告，在竞争性磋商公告中载明采购人、采购代理机构的名称、地点和联系方法；采购项目的名称、数量、简要规格描述或项目基本概况介绍；采购项目的预算；供应商资格条件；获取磋商文件的时间、地点、方式及磋商文件售价； 响应文件提交的截止时间、开启时间及地点；采购项目联系人姓名和电话。从磋商文件发出之日起至供应商提交首次响应文件截止之日止不得少于10日。</w:t>
      </w:r>
    </w:p>
    <w:p>
      <w:pPr>
        <w:pStyle w:val="160"/>
        <w:rPr>
          <w:color w:val="auto"/>
        </w:rPr>
      </w:pPr>
      <w:bookmarkStart w:id="113" w:name="_Toc27061942"/>
      <w:bookmarkStart w:id="114" w:name="_Toc27064253"/>
      <w:bookmarkStart w:id="115" w:name="_Toc15518"/>
      <w:bookmarkStart w:id="116" w:name="_Toc5109"/>
      <w:r>
        <w:rPr>
          <w:rFonts w:hint="eastAsia"/>
          <w:color w:val="auto"/>
        </w:rPr>
        <w:t>三、磋商文件说明</w:t>
      </w:r>
      <w:bookmarkEnd w:id="113"/>
      <w:bookmarkEnd w:id="114"/>
      <w:bookmarkEnd w:id="115"/>
      <w:bookmarkEnd w:id="116"/>
    </w:p>
    <w:p>
      <w:pPr>
        <w:pStyle w:val="4"/>
        <w:spacing w:before="0" w:after="0" w:line="360" w:lineRule="auto"/>
        <w:contextualSpacing/>
        <w:rPr>
          <w:rFonts w:ascii="宋体" w:hAnsi="宋体"/>
          <w:color w:val="auto"/>
          <w:sz w:val="21"/>
          <w:szCs w:val="21"/>
        </w:rPr>
      </w:pPr>
      <w:bookmarkStart w:id="117" w:name="_Toc27061943"/>
      <w:bookmarkStart w:id="118" w:name="_Toc27064254"/>
      <w:bookmarkStart w:id="119" w:name="_Toc15321"/>
      <w:bookmarkStart w:id="120" w:name="_Toc31578"/>
      <w:r>
        <w:rPr>
          <w:rFonts w:hint="eastAsia" w:ascii="宋体" w:hAnsi="宋体"/>
          <w:color w:val="auto"/>
          <w:sz w:val="21"/>
          <w:szCs w:val="21"/>
        </w:rPr>
        <w:t>5、磋商文件的构成</w:t>
      </w:r>
      <w:bookmarkEnd w:id="117"/>
      <w:bookmarkEnd w:id="118"/>
      <w:bookmarkEnd w:id="119"/>
      <w:bookmarkEnd w:id="120"/>
    </w:p>
    <w:p>
      <w:pPr>
        <w:spacing w:line="360" w:lineRule="auto"/>
        <w:ind w:left="420" w:hanging="420" w:hangingChars="200"/>
        <w:contextualSpacing/>
        <w:rPr>
          <w:rFonts w:ascii="宋体" w:hAnsi="宋体"/>
          <w:color w:val="auto"/>
        </w:rPr>
      </w:pPr>
      <w:r>
        <w:rPr>
          <w:rFonts w:hint="eastAsia" w:ascii="宋体" w:hAnsi="宋体"/>
          <w:color w:val="auto"/>
        </w:rPr>
        <w:t>5.1磋商文件用以阐明所需提供的服务、购买、磋商程序和合同条件。磋商文件包括：</w:t>
      </w:r>
    </w:p>
    <w:p>
      <w:pPr>
        <w:spacing w:line="360" w:lineRule="auto"/>
        <w:ind w:firstLine="315" w:firstLineChars="150"/>
        <w:contextualSpacing/>
        <w:rPr>
          <w:rFonts w:ascii="宋体" w:hAnsi="宋体"/>
          <w:color w:val="auto"/>
        </w:rPr>
      </w:pPr>
      <w:r>
        <w:rPr>
          <w:rFonts w:hint="eastAsia" w:ascii="宋体" w:hAnsi="宋体"/>
          <w:color w:val="auto"/>
        </w:rPr>
        <w:t>（1）采购邀请</w:t>
      </w:r>
    </w:p>
    <w:p>
      <w:pPr>
        <w:spacing w:line="360" w:lineRule="auto"/>
        <w:ind w:firstLine="315" w:firstLineChars="150"/>
        <w:contextualSpacing/>
        <w:rPr>
          <w:rFonts w:ascii="宋体" w:hAnsi="宋体"/>
          <w:color w:val="auto"/>
        </w:rPr>
      </w:pPr>
      <w:r>
        <w:rPr>
          <w:rFonts w:hint="eastAsia" w:ascii="宋体" w:hAnsi="宋体"/>
          <w:color w:val="auto"/>
        </w:rPr>
        <w:t>（2）供应商须知</w:t>
      </w:r>
    </w:p>
    <w:p>
      <w:pPr>
        <w:spacing w:line="360" w:lineRule="auto"/>
        <w:ind w:firstLine="315" w:firstLineChars="150"/>
        <w:contextualSpacing/>
        <w:rPr>
          <w:rFonts w:ascii="宋体" w:hAnsi="宋体"/>
          <w:color w:val="auto"/>
        </w:rPr>
      </w:pPr>
      <w:r>
        <w:rPr>
          <w:rFonts w:hint="eastAsia" w:ascii="宋体" w:hAnsi="宋体"/>
          <w:color w:val="auto"/>
        </w:rPr>
        <w:t>（3）服务合同</w:t>
      </w:r>
    </w:p>
    <w:p>
      <w:pPr>
        <w:spacing w:line="360" w:lineRule="auto"/>
        <w:ind w:firstLine="315" w:firstLineChars="150"/>
        <w:contextualSpacing/>
        <w:rPr>
          <w:rFonts w:ascii="宋体" w:hAnsi="宋体"/>
          <w:color w:val="auto"/>
        </w:rPr>
      </w:pPr>
      <w:r>
        <w:rPr>
          <w:rFonts w:hint="eastAsia" w:ascii="宋体" w:hAnsi="宋体"/>
          <w:color w:val="auto"/>
        </w:rPr>
        <w:t>（4）</w:t>
      </w:r>
      <w:r>
        <w:rPr>
          <w:rFonts w:hint="eastAsia" w:ascii="宋体" w:hAnsi="宋体"/>
          <w:color w:val="auto"/>
          <w:lang w:val="en-US" w:eastAsia="zh-CN"/>
        </w:rPr>
        <w:t>需求情况及要求</w:t>
      </w:r>
    </w:p>
    <w:p>
      <w:pPr>
        <w:spacing w:line="360" w:lineRule="auto"/>
        <w:ind w:firstLine="315" w:firstLineChars="150"/>
        <w:contextualSpacing/>
        <w:rPr>
          <w:rFonts w:ascii="宋体" w:hAnsi="宋体"/>
          <w:color w:val="auto"/>
        </w:rPr>
      </w:pPr>
      <w:r>
        <w:rPr>
          <w:rFonts w:hint="eastAsia" w:ascii="宋体" w:hAnsi="宋体"/>
          <w:color w:val="auto"/>
        </w:rPr>
        <w:t>（5）响应文件格式</w:t>
      </w:r>
    </w:p>
    <w:p>
      <w:pPr>
        <w:spacing w:line="360" w:lineRule="auto"/>
        <w:ind w:firstLine="315" w:firstLineChars="150"/>
        <w:contextualSpacing/>
        <w:rPr>
          <w:rFonts w:ascii="宋体" w:hAnsi="宋体"/>
          <w:color w:val="auto"/>
        </w:rPr>
      </w:pPr>
      <w:r>
        <w:rPr>
          <w:rFonts w:hint="eastAsia" w:ascii="宋体" w:hAnsi="宋体"/>
          <w:color w:val="auto"/>
        </w:rPr>
        <w:t>（6）评分标准</w:t>
      </w:r>
    </w:p>
    <w:p>
      <w:pPr>
        <w:spacing w:line="360" w:lineRule="auto"/>
        <w:ind w:left="420" w:hanging="420" w:hangingChars="200"/>
        <w:contextualSpacing/>
        <w:rPr>
          <w:rFonts w:ascii="宋体" w:hAnsi="宋体"/>
          <w:color w:val="auto"/>
        </w:rPr>
      </w:pPr>
      <w:r>
        <w:rPr>
          <w:rFonts w:hint="eastAsia" w:ascii="宋体" w:hAnsi="宋体"/>
          <w:color w:val="auto"/>
        </w:rPr>
        <w:t>5.2供应商应认真阅读磋商文件中所有的事项、格式条款和规范要求等。供应商没有对磋商文件规定的要求和条件做出响应的，采购人有权拒绝供应商的响应文件。</w:t>
      </w:r>
    </w:p>
    <w:p>
      <w:pPr>
        <w:pStyle w:val="4"/>
        <w:spacing w:before="0" w:after="0" w:line="360" w:lineRule="auto"/>
        <w:contextualSpacing/>
        <w:rPr>
          <w:rFonts w:ascii="宋体" w:hAnsi="宋体"/>
          <w:color w:val="auto"/>
          <w:szCs w:val="21"/>
        </w:rPr>
      </w:pPr>
      <w:bookmarkStart w:id="121" w:name="_Toc27064255"/>
      <w:bookmarkStart w:id="122" w:name="_Toc27061944"/>
      <w:bookmarkStart w:id="123" w:name="_Toc27415"/>
      <w:bookmarkStart w:id="124" w:name="_Toc1615"/>
      <w:r>
        <w:rPr>
          <w:rFonts w:hint="eastAsia" w:ascii="宋体" w:hAnsi="宋体"/>
          <w:color w:val="auto"/>
          <w:sz w:val="21"/>
          <w:szCs w:val="21"/>
        </w:rPr>
        <w:t>6、磋商文件的编制</w:t>
      </w:r>
      <w:bookmarkEnd w:id="121"/>
      <w:bookmarkEnd w:id="122"/>
      <w:bookmarkEnd w:id="123"/>
      <w:bookmarkEnd w:id="124"/>
    </w:p>
    <w:p>
      <w:pPr>
        <w:widowControl/>
        <w:spacing w:line="360" w:lineRule="auto"/>
        <w:rPr>
          <w:rFonts w:ascii="宋体" w:hAnsi="宋体" w:cs="宋体"/>
          <w:snapToGrid w:val="0"/>
          <w:color w:val="auto"/>
          <w:kern w:val="0"/>
        </w:rPr>
      </w:pPr>
      <w:r>
        <w:rPr>
          <w:rFonts w:hint="eastAsia" w:ascii="宋体" w:hAnsi="宋体"/>
          <w:snapToGrid w:val="0"/>
          <w:color w:val="auto"/>
          <w:kern w:val="0"/>
        </w:rPr>
        <w:t>6.1磋商</w:t>
      </w:r>
      <w:r>
        <w:rPr>
          <w:rFonts w:hint="eastAsia" w:ascii="宋体" w:hAnsi="宋体" w:cs="宋体"/>
          <w:snapToGrid w:val="0"/>
          <w:color w:val="auto"/>
          <w:kern w:val="0"/>
        </w:rPr>
        <w:t>文件应当根据采购项目的特点和采购人的实际需求制定，并经采购人书面同意。采购人应当以满足实际需求为原则，不得擅自提高经费预算和资产配置等采购标准。磋商文件不得要求或者标明供应商名称或者特定货物的品牌，不得含有指向特定供应商的技术、服务等条件。</w:t>
      </w:r>
    </w:p>
    <w:p>
      <w:pPr>
        <w:pStyle w:val="4"/>
        <w:spacing w:before="0" w:after="0" w:line="360" w:lineRule="auto"/>
        <w:contextualSpacing/>
        <w:rPr>
          <w:rFonts w:ascii="宋体" w:hAnsi="宋体"/>
          <w:color w:val="auto"/>
          <w:sz w:val="21"/>
          <w:szCs w:val="21"/>
        </w:rPr>
      </w:pPr>
      <w:bookmarkStart w:id="125" w:name="_Toc27064256"/>
      <w:bookmarkStart w:id="126" w:name="_Toc27061945"/>
      <w:bookmarkStart w:id="127" w:name="_Toc11774"/>
      <w:bookmarkStart w:id="128" w:name="_Toc4143"/>
      <w:r>
        <w:rPr>
          <w:rFonts w:hint="eastAsia" w:ascii="宋体" w:hAnsi="宋体"/>
          <w:color w:val="auto"/>
          <w:sz w:val="21"/>
          <w:szCs w:val="21"/>
        </w:rPr>
        <w:t>7、磋商文件的澄清与修改</w:t>
      </w:r>
      <w:bookmarkEnd w:id="125"/>
      <w:bookmarkEnd w:id="126"/>
      <w:bookmarkEnd w:id="127"/>
      <w:bookmarkEnd w:id="128"/>
    </w:p>
    <w:p>
      <w:pPr>
        <w:widowControl/>
        <w:spacing w:line="360" w:lineRule="auto"/>
        <w:rPr>
          <w:rFonts w:ascii="宋体" w:hAnsi="宋体" w:cs="宋体"/>
          <w:snapToGrid w:val="0"/>
          <w:color w:val="auto"/>
          <w:kern w:val="0"/>
        </w:rPr>
      </w:pPr>
      <w:r>
        <w:rPr>
          <w:rFonts w:hint="eastAsia" w:ascii="宋体" w:hAnsi="宋体"/>
          <w:color w:val="auto"/>
        </w:rPr>
        <w:t>7.1</w:t>
      </w:r>
      <w:r>
        <w:rPr>
          <w:rFonts w:hint="eastAsia" w:ascii="宋体" w:hAnsi="宋体" w:cs="宋体"/>
          <w:snapToGrid w:val="0"/>
          <w:color w:val="auto"/>
          <w:kern w:val="0"/>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160"/>
        <w:rPr>
          <w:color w:val="auto"/>
        </w:rPr>
      </w:pPr>
      <w:bookmarkStart w:id="129" w:name="_Toc27064257"/>
      <w:bookmarkStart w:id="130" w:name="_Toc27061946"/>
      <w:bookmarkStart w:id="131" w:name="_Toc11537"/>
      <w:bookmarkStart w:id="132" w:name="_Toc26564"/>
      <w:r>
        <w:rPr>
          <w:rFonts w:hint="eastAsia"/>
          <w:color w:val="auto"/>
        </w:rPr>
        <w:t>四、响应文件的编写</w:t>
      </w:r>
      <w:bookmarkEnd w:id="129"/>
      <w:bookmarkEnd w:id="130"/>
      <w:bookmarkEnd w:id="131"/>
      <w:bookmarkEnd w:id="132"/>
    </w:p>
    <w:p>
      <w:pPr>
        <w:pStyle w:val="4"/>
        <w:spacing w:before="0" w:after="0" w:line="360" w:lineRule="auto"/>
        <w:contextualSpacing/>
        <w:rPr>
          <w:rFonts w:ascii="宋体" w:hAnsi="宋体"/>
          <w:color w:val="auto"/>
          <w:sz w:val="21"/>
          <w:szCs w:val="21"/>
        </w:rPr>
      </w:pPr>
      <w:bookmarkStart w:id="133" w:name="_Toc27061947"/>
      <w:bookmarkStart w:id="134" w:name="_Toc27064258"/>
      <w:bookmarkStart w:id="135" w:name="_Toc27504"/>
      <w:bookmarkStart w:id="136" w:name="_Toc24855"/>
      <w:r>
        <w:rPr>
          <w:rFonts w:hint="eastAsia" w:ascii="宋体" w:hAnsi="宋体"/>
          <w:color w:val="auto"/>
          <w:sz w:val="21"/>
          <w:szCs w:val="21"/>
        </w:rPr>
        <w:t>8、响应文件语言</w:t>
      </w:r>
      <w:bookmarkEnd w:id="133"/>
      <w:bookmarkEnd w:id="134"/>
      <w:bookmarkEnd w:id="135"/>
      <w:bookmarkEnd w:id="136"/>
    </w:p>
    <w:p>
      <w:pPr>
        <w:spacing w:line="360" w:lineRule="auto"/>
        <w:contextualSpacing/>
        <w:rPr>
          <w:rFonts w:ascii="宋体" w:hAnsi="宋体"/>
          <w:color w:val="auto"/>
        </w:rPr>
      </w:pPr>
      <w:r>
        <w:rPr>
          <w:rFonts w:hint="eastAsia" w:ascii="宋体" w:hAnsi="宋体"/>
          <w:color w:val="auto"/>
        </w:rPr>
        <w:t>8.1由供应商编写的响应文件和往来书信应以中文书写。</w:t>
      </w:r>
    </w:p>
    <w:p>
      <w:pPr>
        <w:pStyle w:val="4"/>
        <w:spacing w:before="0" w:after="0" w:line="360" w:lineRule="auto"/>
        <w:contextualSpacing/>
        <w:rPr>
          <w:rFonts w:ascii="宋体" w:hAnsi="宋体"/>
          <w:color w:val="auto"/>
          <w:sz w:val="21"/>
          <w:szCs w:val="21"/>
        </w:rPr>
      </w:pPr>
      <w:bookmarkStart w:id="137" w:name="_Toc27064259"/>
      <w:bookmarkStart w:id="138" w:name="_Toc27061948"/>
      <w:bookmarkStart w:id="139" w:name="_Toc1211"/>
      <w:bookmarkStart w:id="140" w:name="_Toc5589"/>
      <w:r>
        <w:rPr>
          <w:rFonts w:hint="eastAsia" w:ascii="宋体" w:hAnsi="宋体"/>
          <w:color w:val="auto"/>
          <w:sz w:val="21"/>
          <w:szCs w:val="21"/>
        </w:rPr>
        <w:t>9、计量单位</w:t>
      </w:r>
      <w:bookmarkEnd w:id="137"/>
      <w:bookmarkEnd w:id="138"/>
      <w:bookmarkEnd w:id="139"/>
      <w:bookmarkEnd w:id="140"/>
    </w:p>
    <w:p>
      <w:pPr>
        <w:spacing w:line="360" w:lineRule="auto"/>
        <w:rPr>
          <w:rFonts w:ascii="宋体" w:hAnsi="宋体"/>
          <w:color w:val="auto"/>
        </w:rPr>
      </w:pPr>
      <w:r>
        <w:rPr>
          <w:rFonts w:hint="eastAsia" w:ascii="宋体" w:hAnsi="宋体"/>
          <w:color w:val="auto"/>
        </w:rPr>
        <w:t>9.1除在磋商文件的技术规格中另有规定外，计量单位应使用中华人民共和国法定计量单位。</w:t>
      </w:r>
    </w:p>
    <w:p>
      <w:pPr>
        <w:pStyle w:val="4"/>
        <w:spacing w:before="0" w:after="0" w:line="360" w:lineRule="auto"/>
        <w:contextualSpacing/>
        <w:rPr>
          <w:rFonts w:ascii="宋体" w:hAnsi="宋体"/>
          <w:color w:val="auto"/>
          <w:sz w:val="21"/>
          <w:szCs w:val="21"/>
        </w:rPr>
      </w:pPr>
      <w:bookmarkStart w:id="141" w:name="_Toc27064260"/>
      <w:bookmarkStart w:id="142" w:name="_Toc27061949"/>
      <w:bookmarkStart w:id="143" w:name="_Toc26130"/>
      <w:bookmarkStart w:id="144" w:name="_Toc29356"/>
      <w:r>
        <w:rPr>
          <w:rFonts w:hint="eastAsia" w:ascii="宋体" w:hAnsi="宋体"/>
          <w:color w:val="auto"/>
          <w:sz w:val="21"/>
          <w:szCs w:val="21"/>
        </w:rPr>
        <w:t>10、响应文件的组成</w:t>
      </w:r>
      <w:bookmarkEnd w:id="141"/>
      <w:bookmarkEnd w:id="142"/>
      <w:bookmarkEnd w:id="143"/>
      <w:bookmarkEnd w:id="144"/>
    </w:p>
    <w:p>
      <w:pPr>
        <w:spacing w:line="360" w:lineRule="auto"/>
        <w:ind w:firstLine="420" w:firstLineChars="200"/>
        <w:contextualSpacing/>
        <w:rPr>
          <w:rFonts w:ascii="宋体" w:hAnsi="宋体"/>
          <w:color w:val="auto"/>
        </w:rPr>
      </w:pPr>
      <w:r>
        <w:rPr>
          <w:rFonts w:hint="eastAsia" w:ascii="宋体" w:hAnsi="宋体"/>
          <w:color w:val="auto"/>
        </w:rPr>
        <w:t>供应商编写的响应文件应包括下列部分：</w:t>
      </w:r>
    </w:p>
    <w:p>
      <w:pPr>
        <w:rPr>
          <w:rFonts w:ascii="宋体" w:hAnsi="宋体"/>
          <w:bCs/>
          <w:color w:val="auto"/>
        </w:rPr>
      </w:pPr>
      <w:r>
        <w:rPr>
          <w:rFonts w:hint="eastAsia" w:ascii="宋体" w:hAnsi="宋体"/>
          <w:bCs/>
          <w:color w:val="auto"/>
        </w:rPr>
        <w:t>附件1 磋商申请函</w:t>
      </w:r>
    </w:p>
    <w:p>
      <w:pPr>
        <w:rPr>
          <w:rFonts w:ascii="宋体" w:hAnsi="宋体"/>
          <w:bCs/>
          <w:color w:val="auto"/>
        </w:rPr>
      </w:pPr>
      <w:r>
        <w:rPr>
          <w:rFonts w:hint="eastAsia" w:ascii="宋体" w:hAnsi="宋体"/>
          <w:bCs/>
          <w:color w:val="auto"/>
        </w:rPr>
        <w:t>附件2 磋商一览表（格式）</w:t>
      </w:r>
    </w:p>
    <w:p>
      <w:pPr>
        <w:rPr>
          <w:rFonts w:ascii="宋体" w:hAnsi="宋体"/>
          <w:bCs/>
          <w:color w:val="auto"/>
        </w:rPr>
      </w:pPr>
      <w:r>
        <w:rPr>
          <w:rFonts w:hint="eastAsia" w:ascii="宋体" w:hAnsi="宋体"/>
          <w:bCs/>
          <w:color w:val="auto"/>
        </w:rPr>
        <w:t>附件3分项报价表</w:t>
      </w:r>
    </w:p>
    <w:p>
      <w:pPr>
        <w:rPr>
          <w:rFonts w:ascii="宋体" w:hAnsi="宋体"/>
          <w:bCs/>
          <w:color w:val="auto"/>
        </w:rPr>
      </w:pPr>
      <w:r>
        <w:rPr>
          <w:rFonts w:hint="eastAsia" w:ascii="宋体" w:hAnsi="宋体"/>
          <w:bCs/>
          <w:color w:val="auto"/>
        </w:rPr>
        <w:t>附件4商务条款偏离表格式</w:t>
      </w:r>
    </w:p>
    <w:p>
      <w:pPr>
        <w:rPr>
          <w:rFonts w:ascii="宋体" w:hAnsi="宋体"/>
          <w:bCs/>
          <w:color w:val="auto"/>
        </w:rPr>
      </w:pPr>
      <w:r>
        <w:rPr>
          <w:rFonts w:hint="eastAsia" w:ascii="宋体" w:hAnsi="宋体"/>
          <w:bCs/>
          <w:color w:val="auto"/>
        </w:rPr>
        <w:t>附件5 技术偏离表</w:t>
      </w:r>
    </w:p>
    <w:p>
      <w:pPr>
        <w:rPr>
          <w:rFonts w:ascii="宋体" w:hAnsi="宋体"/>
          <w:bCs/>
          <w:color w:val="auto"/>
        </w:rPr>
      </w:pPr>
      <w:r>
        <w:rPr>
          <w:rFonts w:hint="eastAsia" w:ascii="宋体" w:hAnsi="宋体"/>
          <w:bCs/>
          <w:color w:val="auto"/>
        </w:rPr>
        <w:t>附件6成交服务费承诺书</w:t>
      </w:r>
    </w:p>
    <w:p>
      <w:pPr>
        <w:rPr>
          <w:rFonts w:ascii="宋体" w:hAnsi="宋体"/>
          <w:bCs/>
          <w:color w:val="auto"/>
        </w:rPr>
      </w:pPr>
      <w:r>
        <w:rPr>
          <w:rFonts w:hint="eastAsia" w:ascii="宋体" w:hAnsi="宋体"/>
          <w:bCs/>
          <w:color w:val="auto"/>
        </w:rPr>
        <w:t>附件7资格证明文件</w:t>
      </w:r>
    </w:p>
    <w:p>
      <w:pPr>
        <w:rPr>
          <w:rFonts w:ascii="宋体" w:hAnsi="宋体"/>
          <w:bCs/>
          <w:color w:val="auto"/>
        </w:rPr>
      </w:pPr>
      <w:r>
        <w:rPr>
          <w:rFonts w:hint="eastAsia" w:ascii="宋体" w:hAnsi="宋体"/>
          <w:bCs/>
          <w:color w:val="auto"/>
        </w:rPr>
        <w:t>附件7.1 法定代表人授权书</w:t>
      </w:r>
    </w:p>
    <w:p>
      <w:pPr>
        <w:rPr>
          <w:rFonts w:ascii="宋体" w:hAnsi="宋体"/>
          <w:bCs/>
          <w:color w:val="auto"/>
        </w:rPr>
      </w:pPr>
      <w:r>
        <w:rPr>
          <w:rFonts w:hint="eastAsia" w:ascii="宋体" w:hAnsi="宋体"/>
          <w:bCs/>
          <w:color w:val="auto"/>
        </w:rPr>
        <w:t>附件7.2 营业执照或法人证书（复印件加盖单位公章）</w:t>
      </w:r>
    </w:p>
    <w:p>
      <w:pPr>
        <w:rPr>
          <w:rFonts w:ascii="宋体" w:hAnsi="宋体"/>
          <w:bCs/>
          <w:color w:val="auto"/>
        </w:rPr>
      </w:pPr>
      <w:r>
        <w:rPr>
          <w:rFonts w:hint="eastAsia" w:ascii="宋体" w:hAnsi="宋体"/>
          <w:bCs/>
          <w:color w:val="auto"/>
        </w:rPr>
        <w:t>附件7.3 供应商资格声明</w:t>
      </w:r>
    </w:p>
    <w:p>
      <w:pPr>
        <w:rPr>
          <w:rFonts w:ascii="宋体" w:hAnsi="宋体"/>
          <w:bCs/>
          <w:color w:val="auto"/>
        </w:rPr>
      </w:pPr>
      <w:r>
        <w:rPr>
          <w:rFonts w:hint="eastAsia" w:ascii="宋体" w:hAnsi="宋体"/>
          <w:bCs/>
          <w:color w:val="auto"/>
        </w:rPr>
        <w:t>附件7.4供应商的资信证明</w:t>
      </w:r>
    </w:p>
    <w:p>
      <w:pPr>
        <w:rPr>
          <w:rFonts w:ascii="宋体" w:hAnsi="宋体"/>
          <w:bCs/>
          <w:color w:val="auto"/>
        </w:rPr>
      </w:pPr>
      <w:r>
        <w:rPr>
          <w:rFonts w:hint="eastAsia" w:ascii="宋体" w:hAnsi="宋体"/>
          <w:bCs/>
          <w:color w:val="auto"/>
        </w:rPr>
        <w:t>附件7.5社会保障资金缴纳记录</w:t>
      </w:r>
    </w:p>
    <w:p>
      <w:pPr>
        <w:rPr>
          <w:rFonts w:ascii="宋体" w:hAnsi="宋体"/>
          <w:bCs/>
          <w:color w:val="auto"/>
        </w:rPr>
      </w:pPr>
      <w:r>
        <w:rPr>
          <w:rFonts w:hint="eastAsia" w:ascii="宋体" w:hAnsi="宋体"/>
          <w:bCs/>
          <w:color w:val="auto"/>
        </w:rPr>
        <w:t>附件7.6依法缴纳税收的完税证明</w:t>
      </w:r>
    </w:p>
    <w:p>
      <w:pPr>
        <w:rPr>
          <w:rFonts w:ascii="宋体" w:hAnsi="宋体"/>
          <w:color w:val="auto"/>
        </w:rPr>
      </w:pPr>
      <w:r>
        <w:rPr>
          <w:rFonts w:hint="eastAsia" w:ascii="宋体" w:hAnsi="宋体"/>
          <w:bCs/>
          <w:color w:val="auto"/>
        </w:rPr>
        <w:t>附件7.7</w:t>
      </w:r>
      <w:r>
        <w:rPr>
          <w:rFonts w:hint="eastAsia" w:ascii="宋体" w:hAnsi="宋体"/>
          <w:color w:val="auto"/>
        </w:rPr>
        <w:t>参加政府采购活动近三年内，在经营活动中没有重大违法记录声明</w:t>
      </w:r>
    </w:p>
    <w:p>
      <w:pPr>
        <w:rPr>
          <w:rFonts w:ascii="宋体" w:hAnsi="宋体"/>
          <w:bCs/>
          <w:color w:val="auto"/>
        </w:rPr>
      </w:pPr>
      <w:r>
        <w:rPr>
          <w:rFonts w:hint="eastAsia" w:ascii="宋体" w:hAnsi="宋体"/>
          <w:bCs/>
          <w:color w:val="auto"/>
        </w:rPr>
        <w:t>附件8近三年业绩</w:t>
      </w:r>
    </w:p>
    <w:p>
      <w:pPr>
        <w:rPr>
          <w:rFonts w:ascii="宋体" w:hAnsi="宋体"/>
          <w:bCs/>
          <w:color w:val="auto"/>
        </w:rPr>
      </w:pPr>
      <w:r>
        <w:rPr>
          <w:rFonts w:hint="eastAsia" w:ascii="宋体" w:hAnsi="宋体"/>
          <w:bCs/>
          <w:color w:val="auto"/>
        </w:rPr>
        <w:t>附件9拟用于本项目的人员情况</w:t>
      </w:r>
    </w:p>
    <w:p>
      <w:pPr>
        <w:rPr>
          <w:rFonts w:ascii="宋体" w:hAnsi="宋体"/>
          <w:color w:val="auto"/>
        </w:rPr>
      </w:pPr>
      <w:r>
        <w:rPr>
          <w:rFonts w:hint="eastAsia" w:ascii="宋体" w:hAnsi="宋体"/>
          <w:bCs/>
          <w:color w:val="auto"/>
        </w:rPr>
        <w:t>附件10</w:t>
      </w:r>
      <w:r>
        <w:rPr>
          <w:rFonts w:hint="eastAsia" w:ascii="宋体" w:hAnsi="宋体"/>
          <w:color w:val="auto"/>
        </w:rPr>
        <w:t>服务方案</w:t>
      </w:r>
    </w:p>
    <w:p>
      <w:pPr>
        <w:rPr>
          <w:rFonts w:ascii="宋体" w:hAnsi="宋体"/>
          <w:bCs/>
          <w:color w:val="auto"/>
        </w:rPr>
      </w:pPr>
      <w:r>
        <w:rPr>
          <w:rFonts w:hint="eastAsia" w:ascii="宋体" w:hAnsi="宋体"/>
          <w:bCs/>
          <w:color w:val="auto"/>
        </w:rPr>
        <w:t>附件11有利于本项目进行的其他相关资料及建议</w:t>
      </w:r>
    </w:p>
    <w:p>
      <w:pPr>
        <w:rPr>
          <w:rFonts w:ascii="宋体" w:hAnsi="宋体"/>
          <w:color w:val="auto"/>
        </w:rPr>
      </w:pPr>
      <w:r>
        <w:rPr>
          <w:rFonts w:hint="eastAsia" w:ascii="宋体" w:hAnsi="宋体"/>
          <w:color w:val="auto"/>
        </w:rPr>
        <w:t>附件12中小企业声明函</w:t>
      </w:r>
    </w:p>
    <w:p>
      <w:pPr>
        <w:pStyle w:val="4"/>
        <w:spacing w:before="0" w:after="0" w:line="360" w:lineRule="auto"/>
        <w:contextualSpacing/>
        <w:rPr>
          <w:rFonts w:ascii="宋体" w:hAnsi="宋体"/>
          <w:color w:val="auto"/>
          <w:sz w:val="21"/>
          <w:szCs w:val="21"/>
        </w:rPr>
      </w:pPr>
      <w:bookmarkStart w:id="145" w:name="_Toc31509"/>
      <w:bookmarkStart w:id="146" w:name="_Toc4968"/>
      <w:r>
        <w:rPr>
          <w:rFonts w:hint="eastAsia" w:ascii="宋体" w:hAnsi="宋体"/>
          <w:color w:val="auto"/>
          <w:sz w:val="21"/>
          <w:szCs w:val="21"/>
        </w:rPr>
        <w:t>附件13</w:t>
      </w:r>
      <w:r>
        <w:rPr>
          <w:rFonts w:ascii="宋体" w:hAnsi="宋体"/>
          <w:color w:val="auto"/>
          <w:sz w:val="21"/>
          <w:szCs w:val="21"/>
        </w:rPr>
        <w:t>残疾人福利性单位声明函</w:t>
      </w:r>
      <w:bookmarkEnd w:id="145"/>
      <w:bookmarkEnd w:id="146"/>
      <w:bookmarkStart w:id="147" w:name="_Toc27064261"/>
      <w:bookmarkStart w:id="148" w:name="_Toc27061950"/>
    </w:p>
    <w:p>
      <w:pPr>
        <w:pStyle w:val="4"/>
        <w:spacing w:before="0" w:after="0" w:line="360" w:lineRule="auto"/>
        <w:contextualSpacing/>
        <w:rPr>
          <w:rFonts w:ascii="宋体" w:hAnsi="宋体"/>
          <w:color w:val="auto"/>
          <w:sz w:val="21"/>
          <w:szCs w:val="21"/>
        </w:rPr>
      </w:pPr>
      <w:bookmarkStart w:id="149" w:name="_Toc3817"/>
      <w:bookmarkStart w:id="150" w:name="_Toc7983"/>
      <w:r>
        <w:rPr>
          <w:rFonts w:hint="eastAsia" w:ascii="宋体" w:hAnsi="宋体"/>
          <w:color w:val="auto"/>
          <w:sz w:val="21"/>
          <w:szCs w:val="21"/>
        </w:rPr>
        <w:t>11、响应文件格式</w:t>
      </w:r>
      <w:bookmarkEnd w:id="147"/>
      <w:bookmarkEnd w:id="148"/>
      <w:bookmarkEnd w:id="149"/>
      <w:bookmarkEnd w:id="150"/>
    </w:p>
    <w:p>
      <w:pPr>
        <w:spacing w:line="360" w:lineRule="auto"/>
        <w:ind w:left="525" w:hanging="525" w:hangingChars="250"/>
        <w:contextualSpacing/>
        <w:rPr>
          <w:rFonts w:ascii="宋体" w:hAnsi="宋体"/>
          <w:color w:val="auto"/>
        </w:rPr>
      </w:pPr>
      <w:r>
        <w:rPr>
          <w:rFonts w:hint="eastAsia" w:ascii="宋体" w:hAnsi="宋体"/>
          <w:color w:val="auto"/>
        </w:rPr>
        <w:t>11.1供应商应按磋商文件附件中提供的响应文件格式逐项填写各文件并提交相应证明资料。</w:t>
      </w:r>
    </w:p>
    <w:p>
      <w:pPr>
        <w:pStyle w:val="4"/>
        <w:spacing w:before="0" w:after="0" w:line="360" w:lineRule="auto"/>
        <w:contextualSpacing/>
        <w:rPr>
          <w:rFonts w:ascii="宋体" w:hAnsi="宋体"/>
          <w:color w:val="auto"/>
          <w:sz w:val="21"/>
          <w:szCs w:val="21"/>
        </w:rPr>
      </w:pPr>
      <w:bookmarkStart w:id="151" w:name="_Toc27061951"/>
      <w:bookmarkStart w:id="152" w:name="_Toc27064262"/>
      <w:bookmarkStart w:id="153" w:name="_Toc8457"/>
      <w:bookmarkStart w:id="154" w:name="_Toc6294"/>
      <w:r>
        <w:rPr>
          <w:rFonts w:hint="eastAsia" w:ascii="宋体" w:hAnsi="宋体"/>
          <w:color w:val="auto"/>
          <w:sz w:val="21"/>
          <w:szCs w:val="21"/>
        </w:rPr>
        <w:t>12、磋商报价</w:t>
      </w:r>
      <w:bookmarkEnd w:id="151"/>
      <w:bookmarkEnd w:id="152"/>
      <w:bookmarkEnd w:id="153"/>
      <w:bookmarkEnd w:id="154"/>
    </w:p>
    <w:p>
      <w:pPr>
        <w:spacing w:line="360" w:lineRule="auto"/>
        <w:ind w:left="525" w:hanging="525" w:hangingChars="250"/>
        <w:contextualSpacing/>
        <w:rPr>
          <w:rFonts w:ascii="宋体" w:hAnsi="宋体"/>
          <w:color w:val="auto"/>
        </w:rPr>
      </w:pPr>
      <w:r>
        <w:rPr>
          <w:rFonts w:hint="eastAsia" w:ascii="宋体" w:hAnsi="宋体"/>
          <w:color w:val="auto"/>
        </w:rPr>
        <w:t>12.1各供应商根据本单位情况按照磋商一览表的要求进行报价。</w:t>
      </w:r>
    </w:p>
    <w:p>
      <w:pPr>
        <w:pStyle w:val="4"/>
        <w:rPr>
          <w:rFonts w:ascii="宋体" w:hAnsi="宋体"/>
          <w:strike/>
          <w:color w:val="auto"/>
          <w:sz w:val="21"/>
          <w:szCs w:val="21"/>
        </w:rPr>
      </w:pPr>
      <w:bookmarkStart w:id="155" w:name="_Toc27064263"/>
      <w:bookmarkStart w:id="156" w:name="_Toc27061952"/>
      <w:bookmarkStart w:id="157" w:name="_Toc28483"/>
      <w:bookmarkStart w:id="158" w:name="_Toc22014"/>
      <w:r>
        <w:rPr>
          <w:rFonts w:hint="eastAsia" w:ascii="宋体" w:hAnsi="宋体"/>
          <w:color w:val="auto"/>
          <w:sz w:val="21"/>
          <w:szCs w:val="21"/>
        </w:rPr>
        <w:t>13、磋商保证金（本项目不要求）</w:t>
      </w:r>
      <w:bookmarkEnd w:id="155"/>
      <w:bookmarkEnd w:id="156"/>
      <w:bookmarkEnd w:id="157"/>
      <w:bookmarkEnd w:id="158"/>
    </w:p>
    <w:p>
      <w:pPr>
        <w:pStyle w:val="4"/>
        <w:spacing w:before="0" w:after="0" w:line="360" w:lineRule="auto"/>
        <w:contextualSpacing/>
        <w:rPr>
          <w:rFonts w:ascii="宋体" w:hAnsi="宋体"/>
          <w:color w:val="auto"/>
          <w:sz w:val="21"/>
          <w:szCs w:val="21"/>
        </w:rPr>
      </w:pPr>
      <w:bookmarkStart w:id="159" w:name="_Toc27064264"/>
      <w:bookmarkStart w:id="160" w:name="_Toc27061953"/>
      <w:bookmarkStart w:id="161" w:name="_Toc28279"/>
      <w:bookmarkStart w:id="162" w:name="_Toc32418"/>
      <w:r>
        <w:rPr>
          <w:rFonts w:hint="eastAsia" w:ascii="宋体" w:hAnsi="宋体"/>
          <w:color w:val="auto"/>
          <w:sz w:val="21"/>
          <w:szCs w:val="21"/>
        </w:rPr>
        <w:t>14、磋商有效期</w:t>
      </w:r>
      <w:bookmarkEnd w:id="159"/>
      <w:bookmarkEnd w:id="160"/>
      <w:bookmarkEnd w:id="161"/>
      <w:bookmarkEnd w:id="162"/>
    </w:p>
    <w:p>
      <w:pPr>
        <w:spacing w:line="360" w:lineRule="auto"/>
        <w:ind w:left="424" w:hanging="424" w:hangingChars="202"/>
        <w:contextualSpacing/>
        <w:rPr>
          <w:rFonts w:ascii="宋体" w:hAnsi="宋体"/>
          <w:color w:val="auto"/>
        </w:rPr>
      </w:pPr>
      <w:r>
        <w:rPr>
          <w:rFonts w:hint="eastAsia" w:ascii="宋体" w:hAnsi="宋体"/>
          <w:color w:val="auto"/>
        </w:rPr>
        <w:t>14.1磋商有效期为60天（从响应文件提交截止之日算起）。响应文件的有效期不足本须知规定的有效期的，将被视为非实质响应性响应文件，采购人有权拒绝其投标申请。</w:t>
      </w:r>
    </w:p>
    <w:p>
      <w:pPr>
        <w:spacing w:line="360" w:lineRule="auto"/>
        <w:ind w:left="424" w:hanging="424" w:hangingChars="202"/>
        <w:contextualSpacing/>
        <w:rPr>
          <w:rFonts w:ascii="宋体" w:hAnsi="宋体"/>
          <w:color w:val="auto"/>
        </w:rPr>
      </w:pPr>
      <w:r>
        <w:rPr>
          <w:rFonts w:hint="eastAsia" w:ascii="宋体" w:hAnsi="宋体"/>
          <w:color w:val="auto"/>
        </w:rPr>
        <w:t>14.2 特殊情况下，采购人可于响应文件有效期满之前要求供应商同意延长有效期，要求与答复均应为书面形式。供应商可以拒绝上述要求，其磋商保证金不予退还（如有）。对于同意该要求的供应商，既不要求也不允许其修改响应文件，但将要求其相应延长磋商保证金的有效期（如有），有关退还和没收保证金的规定在磋商有效期的延长期内继续有效。</w:t>
      </w:r>
    </w:p>
    <w:p>
      <w:pPr>
        <w:pStyle w:val="4"/>
        <w:spacing w:before="0" w:after="0" w:line="360" w:lineRule="auto"/>
        <w:contextualSpacing/>
        <w:rPr>
          <w:rFonts w:ascii="宋体" w:hAnsi="宋体"/>
          <w:color w:val="auto"/>
          <w:sz w:val="21"/>
          <w:szCs w:val="21"/>
        </w:rPr>
      </w:pPr>
      <w:bookmarkStart w:id="163" w:name="_Toc27064265"/>
      <w:bookmarkStart w:id="164" w:name="_Toc27061954"/>
      <w:bookmarkStart w:id="165" w:name="_Toc3109"/>
      <w:bookmarkStart w:id="166" w:name="_Toc2318"/>
      <w:r>
        <w:rPr>
          <w:rFonts w:hint="eastAsia" w:ascii="宋体" w:hAnsi="宋体"/>
          <w:color w:val="auto"/>
          <w:sz w:val="21"/>
          <w:szCs w:val="21"/>
        </w:rPr>
        <w:t>15响应文件的签署及规定</w:t>
      </w:r>
      <w:bookmarkEnd w:id="163"/>
      <w:bookmarkEnd w:id="164"/>
      <w:bookmarkEnd w:id="165"/>
      <w:bookmarkEnd w:id="166"/>
    </w:p>
    <w:p>
      <w:pPr>
        <w:spacing w:line="360" w:lineRule="auto"/>
        <w:ind w:left="424" w:hanging="424" w:hangingChars="202"/>
        <w:contextualSpacing/>
        <w:rPr>
          <w:rFonts w:ascii="宋体" w:hAnsi="宋体"/>
          <w:color w:val="auto"/>
        </w:rPr>
      </w:pPr>
      <w:r>
        <w:rPr>
          <w:rFonts w:hint="eastAsia" w:ascii="宋体" w:hAnsi="宋体"/>
          <w:color w:val="auto"/>
        </w:rPr>
        <w:t>15.1 响应文件正本须是打印文件。响应文件应由供应商法定代表人或经法定代表人正式授权的供应商代表在“磋商文件”要求的地方签字并加盖印章。正本和副本存在不一致时，以正本为准。</w:t>
      </w:r>
    </w:p>
    <w:p>
      <w:pPr>
        <w:spacing w:line="360" w:lineRule="auto"/>
        <w:ind w:left="424" w:hanging="424" w:hangingChars="202"/>
        <w:contextualSpacing/>
        <w:rPr>
          <w:rFonts w:ascii="宋体" w:hAnsi="宋体"/>
          <w:color w:val="auto"/>
        </w:rPr>
      </w:pPr>
      <w:r>
        <w:rPr>
          <w:rFonts w:hint="eastAsia" w:ascii="宋体" w:hAnsi="宋体"/>
          <w:color w:val="auto"/>
        </w:rPr>
        <w:t>15.2 除供应商对错处作必要修改外，响应文件中不许有加行、涂抹或改写。若有修改须由签署响应文件的人在旁边签字才有效。</w:t>
      </w:r>
    </w:p>
    <w:p>
      <w:pPr>
        <w:spacing w:line="360" w:lineRule="auto"/>
        <w:contextualSpacing/>
        <w:rPr>
          <w:rFonts w:ascii="宋体" w:hAnsi="宋体"/>
          <w:color w:val="auto"/>
        </w:rPr>
      </w:pPr>
      <w:r>
        <w:rPr>
          <w:rFonts w:hint="eastAsia" w:ascii="宋体" w:hAnsi="宋体"/>
          <w:color w:val="auto"/>
        </w:rPr>
        <w:t>15.3 采购人拒绝接受以电报、电话、传真、电子邮件形式的响应文件。</w:t>
      </w:r>
    </w:p>
    <w:p>
      <w:pPr>
        <w:pStyle w:val="160"/>
        <w:rPr>
          <w:color w:val="auto"/>
        </w:rPr>
      </w:pPr>
      <w:bookmarkStart w:id="167" w:name="_Toc27064266"/>
      <w:bookmarkStart w:id="168" w:name="_Toc27061955"/>
      <w:bookmarkStart w:id="169" w:name="_Toc5736"/>
      <w:bookmarkStart w:id="170" w:name="_Toc10223"/>
      <w:r>
        <w:rPr>
          <w:rFonts w:hint="eastAsia"/>
          <w:color w:val="auto"/>
        </w:rPr>
        <w:t>五、响应文件的递交</w:t>
      </w:r>
      <w:bookmarkEnd w:id="167"/>
      <w:bookmarkEnd w:id="168"/>
      <w:bookmarkEnd w:id="169"/>
      <w:bookmarkEnd w:id="170"/>
    </w:p>
    <w:p>
      <w:pPr>
        <w:pStyle w:val="4"/>
        <w:spacing w:before="0" w:after="0" w:line="360" w:lineRule="auto"/>
        <w:contextualSpacing/>
        <w:rPr>
          <w:rFonts w:ascii="宋体" w:hAnsi="宋体"/>
          <w:color w:val="auto"/>
          <w:sz w:val="21"/>
          <w:szCs w:val="21"/>
        </w:rPr>
      </w:pPr>
      <w:bookmarkStart w:id="171" w:name="_Toc27064267"/>
      <w:bookmarkStart w:id="172" w:name="_Toc27061956"/>
      <w:bookmarkStart w:id="173" w:name="_Toc28201"/>
      <w:bookmarkStart w:id="174" w:name="_Toc28495"/>
      <w:r>
        <w:rPr>
          <w:rFonts w:hint="eastAsia" w:ascii="宋体" w:hAnsi="宋体"/>
          <w:color w:val="auto"/>
          <w:sz w:val="21"/>
          <w:szCs w:val="21"/>
        </w:rPr>
        <w:t>16、响应文件的数量、包装和标记</w:t>
      </w:r>
      <w:bookmarkEnd w:id="171"/>
      <w:bookmarkEnd w:id="172"/>
      <w:bookmarkEnd w:id="173"/>
      <w:bookmarkEnd w:id="174"/>
    </w:p>
    <w:p>
      <w:pPr>
        <w:spacing w:line="360" w:lineRule="auto"/>
        <w:ind w:left="525" w:hanging="525" w:hangingChars="250"/>
        <w:contextualSpacing/>
        <w:rPr>
          <w:rFonts w:ascii="宋体" w:hAnsi="宋体"/>
          <w:color w:val="auto"/>
        </w:rPr>
      </w:pPr>
      <w:r>
        <w:rPr>
          <w:rFonts w:hint="eastAsia" w:ascii="宋体" w:hAnsi="宋体"/>
          <w:color w:val="auto"/>
        </w:rPr>
        <w:t>16.1 供应商应提交1套正本“响应文件”、2套副本“响应文件”。响应文件需胶装，每套“响应文件”封面的右上角应标明“正本”或“副本”。</w:t>
      </w:r>
      <w:r>
        <w:rPr>
          <w:rFonts w:hint="eastAsia" w:ascii="宋体" w:hAnsi="宋体"/>
          <w:bCs/>
          <w:color w:val="auto"/>
        </w:rPr>
        <w:t>正本和副本存在不一致时，以正本为准。</w:t>
      </w:r>
    </w:p>
    <w:p>
      <w:pPr>
        <w:spacing w:line="360" w:lineRule="auto"/>
        <w:ind w:left="525" w:hanging="525" w:hangingChars="250"/>
        <w:contextualSpacing/>
        <w:rPr>
          <w:rFonts w:ascii="宋体" w:hAnsi="宋体"/>
          <w:color w:val="auto"/>
        </w:rPr>
      </w:pPr>
      <w:r>
        <w:rPr>
          <w:rFonts w:hint="eastAsia" w:ascii="宋体" w:hAnsi="宋体"/>
          <w:color w:val="auto"/>
        </w:rPr>
        <w:t>16.2 供应商应将响应文件正本和副本用信封或文件盒（箱）密封包装于一件包装内，封口处应有供应商单位公章,封皮正面标明项目编号、项目名称、供应商名称。</w:t>
      </w:r>
    </w:p>
    <w:p>
      <w:pPr>
        <w:spacing w:line="360" w:lineRule="auto"/>
        <w:ind w:left="525" w:hanging="525" w:hangingChars="250"/>
        <w:contextualSpacing/>
        <w:rPr>
          <w:rFonts w:ascii="宋体" w:hAnsi="宋体"/>
          <w:color w:val="auto"/>
        </w:rPr>
      </w:pPr>
      <w:r>
        <w:rPr>
          <w:rFonts w:hint="eastAsia" w:ascii="宋体" w:hAnsi="宋体"/>
          <w:color w:val="auto"/>
        </w:rPr>
        <w:t>16.3 供应商应将磋商一览表也须单独封装在一个信封内与其他响应文件分装，封口处应有供应商单位公章,封皮正面标明项目编号、项目名称、供应商名称并同时递交采购人。</w:t>
      </w:r>
    </w:p>
    <w:p>
      <w:pPr>
        <w:spacing w:line="360" w:lineRule="auto"/>
        <w:ind w:left="525" w:hanging="525" w:hangingChars="250"/>
        <w:contextualSpacing/>
        <w:rPr>
          <w:rFonts w:ascii="宋体" w:hAnsi="宋体"/>
          <w:color w:val="auto"/>
        </w:rPr>
      </w:pPr>
      <w:r>
        <w:rPr>
          <w:rFonts w:hint="eastAsia" w:ascii="宋体" w:hAnsi="宋体"/>
          <w:color w:val="auto"/>
        </w:rPr>
        <w:t>16.4 每一密封信封上注明“于    年   月   日    时（投标截止时间）之前不准启封”的字样。</w:t>
      </w:r>
    </w:p>
    <w:p>
      <w:pPr>
        <w:spacing w:line="360" w:lineRule="auto"/>
        <w:ind w:left="525" w:hanging="525" w:hangingChars="250"/>
        <w:contextualSpacing/>
        <w:rPr>
          <w:rFonts w:ascii="宋体" w:hAnsi="宋体"/>
          <w:color w:val="auto"/>
        </w:rPr>
      </w:pPr>
      <w:r>
        <w:rPr>
          <w:rFonts w:hint="eastAsia" w:ascii="宋体" w:hAnsi="宋体"/>
          <w:color w:val="auto"/>
        </w:rPr>
        <w:t>16.5 如响应文件由专人送交，供应商应将响应文件按上述规定进行密封和标记后，按磋商邀请注明的地址送达采购代理机构。</w:t>
      </w:r>
    </w:p>
    <w:p>
      <w:pPr>
        <w:spacing w:line="360" w:lineRule="auto"/>
        <w:contextualSpacing/>
        <w:rPr>
          <w:rFonts w:ascii="宋体" w:hAnsi="宋体"/>
          <w:color w:val="auto"/>
        </w:rPr>
      </w:pPr>
      <w:r>
        <w:rPr>
          <w:rFonts w:hint="eastAsia" w:ascii="宋体" w:hAnsi="宋体"/>
          <w:color w:val="auto"/>
        </w:rPr>
        <w:t>16.6 如果响应文件通过邮寄递交，供应商应将响应文件用内、外两层信封密封。</w:t>
      </w:r>
    </w:p>
    <w:p>
      <w:pPr>
        <w:spacing w:line="360" w:lineRule="auto"/>
        <w:ind w:firstLine="420" w:firstLineChars="200"/>
        <w:contextualSpacing/>
        <w:rPr>
          <w:rFonts w:ascii="宋体" w:hAnsi="宋体"/>
          <w:color w:val="auto"/>
        </w:rPr>
      </w:pPr>
      <w:r>
        <w:rPr>
          <w:rFonts w:hint="eastAsia" w:ascii="宋体" w:hAnsi="宋体"/>
          <w:color w:val="auto"/>
        </w:rPr>
        <w:t>（1）内层信封的封装与标记同16.1、16.2、16.3、16.4规定。</w:t>
      </w:r>
    </w:p>
    <w:p>
      <w:pPr>
        <w:spacing w:line="360" w:lineRule="auto"/>
        <w:ind w:left="424" w:leftChars="200" w:hanging="4" w:hangingChars="2"/>
        <w:contextualSpacing/>
        <w:rPr>
          <w:rFonts w:ascii="宋体" w:hAnsi="宋体"/>
          <w:color w:val="auto"/>
        </w:rPr>
      </w:pPr>
      <w:r>
        <w:rPr>
          <w:rFonts w:hint="eastAsia" w:ascii="宋体" w:hAnsi="宋体"/>
          <w:color w:val="auto"/>
        </w:rPr>
        <w:t>（2）外层信封装入16.1、16.2、16.3所述全部内封资料，并写明项目编号、项目名称、采购人名称、地址。同时应写明供应商的名称、地址，以便将迟交的响应文件原封退还。</w:t>
      </w:r>
    </w:p>
    <w:p>
      <w:pPr>
        <w:spacing w:line="360" w:lineRule="auto"/>
        <w:ind w:left="525" w:hanging="525" w:hangingChars="250"/>
        <w:contextualSpacing/>
        <w:rPr>
          <w:rFonts w:ascii="宋体" w:hAnsi="宋体"/>
          <w:color w:val="auto"/>
        </w:rPr>
      </w:pPr>
      <w:r>
        <w:rPr>
          <w:rFonts w:hint="eastAsia" w:ascii="宋体" w:hAnsi="宋体"/>
          <w:color w:val="auto"/>
        </w:rPr>
        <w:t>16.7 如果未按上述规定进行密封和标记，采购人对响应文件的误投或提前拆封不负责任。</w:t>
      </w:r>
    </w:p>
    <w:p>
      <w:pPr>
        <w:pStyle w:val="4"/>
        <w:spacing w:before="0" w:after="0" w:line="360" w:lineRule="auto"/>
        <w:contextualSpacing/>
        <w:rPr>
          <w:rFonts w:ascii="宋体" w:hAnsi="宋体"/>
          <w:color w:val="auto"/>
          <w:sz w:val="21"/>
          <w:szCs w:val="21"/>
        </w:rPr>
      </w:pPr>
      <w:bookmarkStart w:id="175" w:name="_Toc27061957"/>
      <w:bookmarkStart w:id="176" w:name="_Toc27064268"/>
      <w:bookmarkStart w:id="177" w:name="_Toc25086"/>
      <w:bookmarkStart w:id="178" w:name="_Toc20954"/>
      <w:r>
        <w:rPr>
          <w:rFonts w:hint="eastAsia" w:ascii="宋体" w:hAnsi="宋体"/>
          <w:color w:val="auto"/>
          <w:sz w:val="21"/>
          <w:szCs w:val="21"/>
        </w:rPr>
        <w:t>17、响应文件递交截止时间</w:t>
      </w:r>
      <w:bookmarkEnd w:id="175"/>
      <w:bookmarkEnd w:id="176"/>
      <w:bookmarkEnd w:id="177"/>
      <w:bookmarkEnd w:id="178"/>
    </w:p>
    <w:p>
      <w:pPr>
        <w:spacing w:line="360" w:lineRule="auto"/>
        <w:contextualSpacing/>
        <w:rPr>
          <w:rFonts w:ascii="宋体" w:hAnsi="宋体"/>
          <w:color w:val="auto"/>
        </w:rPr>
      </w:pPr>
      <w:r>
        <w:rPr>
          <w:rFonts w:hint="eastAsia" w:ascii="宋体" w:hAnsi="宋体"/>
          <w:color w:val="auto"/>
        </w:rPr>
        <w:t>17.1 所有响应文件必须派人送交，并按“磋商邀请”中规定的响应文件提交截止时间之前送达。</w:t>
      </w:r>
    </w:p>
    <w:p>
      <w:pPr>
        <w:spacing w:line="360" w:lineRule="auto"/>
        <w:ind w:left="525" w:hanging="525" w:hangingChars="250"/>
        <w:contextualSpacing/>
        <w:rPr>
          <w:rFonts w:ascii="宋体" w:hAnsi="宋体"/>
          <w:color w:val="auto"/>
        </w:rPr>
      </w:pPr>
      <w:r>
        <w:rPr>
          <w:rFonts w:hint="eastAsia" w:ascii="宋体" w:hAnsi="宋体"/>
          <w:color w:val="auto"/>
        </w:rPr>
        <w:t>17.2 出现第7.3款因磋商文件的修改推迟响应文件提交截止日期时，则按采购人修改通知规定的时间递交。</w:t>
      </w:r>
    </w:p>
    <w:p>
      <w:pPr>
        <w:pStyle w:val="4"/>
        <w:spacing w:before="0" w:after="0" w:line="360" w:lineRule="auto"/>
        <w:contextualSpacing/>
        <w:rPr>
          <w:rFonts w:ascii="宋体" w:hAnsi="宋体"/>
          <w:color w:val="auto"/>
          <w:sz w:val="21"/>
          <w:szCs w:val="21"/>
        </w:rPr>
      </w:pPr>
      <w:bookmarkStart w:id="179" w:name="_Toc27064269"/>
      <w:bookmarkStart w:id="180" w:name="_Toc27061958"/>
      <w:bookmarkStart w:id="181" w:name="_Toc14630"/>
      <w:bookmarkStart w:id="182" w:name="_Toc21031"/>
      <w:r>
        <w:rPr>
          <w:rFonts w:hint="eastAsia" w:ascii="宋体" w:hAnsi="宋体"/>
          <w:color w:val="auto"/>
          <w:sz w:val="21"/>
          <w:szCs w:val="21"/>
        </w:rPr>
        <w:t>18、迟交的响应文件</w:t>
      </w:r>
      <w:bookmarkEnd w:id="179"/>
      <w:bookmarkEnd w:id="180"/>
      <w:bookmarkEnd w:id="181"/>
      <w:bookmarkEnd w:id="182"/>
    </w:p>
    <w:p>
      <w:pPr>
        <w:spacing w:line="360" w:lineRule="auto"/>
        <w:ind w:left="525" w:hanging="525" w:hangingChars="250"/>
        <w:contextualSpacing/>
        <w:rPr>
          <w:rFonts w:ascii="宋体" w:hAnsi="宋体"/>
          <w:color w:val="auto"/>
        </w:rPr>
      </w:pPr>
      <w:r>
        <w:rPr>
          <w:rFonts w:hint="eastAsia" w:ascii="宋体" w:hAnsi="宋体"/>
          <w:color w:val="auto"/>
        </w:rPr>
        <w:t>18.1 采购人将拒绝接受并原封退回在响应文件递交截止时间后递交的任何响应文件。</w:t>
      </w:r>
    </w:p>
    <w:p>
      <w:pPr>
        <w:pStyle w:val="4"/>
        <w:spacing w:before="0" w:after="0" w:line="360" w:lineRule="auto"/>
        <w:contextualSpacing/>
        <w:rPr>
          <w:rFonts w:ascii="宋体" w:hAnsi="宋体"/>
          <w:color w:val="auto"/>
          <w:sz w:val="21"/>
          <w:szCs w:val="21"/>
        </w:rPr>
      </w:pPr>
      <w:bookmarkStart w:id="183" w:name="_Toc27061959"/>
      <w:bookmarkStart w:id="184" w:name="_Toc27064270"/>
      <w:bookmarkStart w:id="185" w:name="_Toc28648"/>
      <w:bookmarkStart w:id="186" w:name="_Toc9129"/>
      <w:r>
        <w:rPr>
          <w:rFonts w:hint="eastAsia" w:ascii="宋体" w:hAnsi="宋体"/>
          <w:color w:val="auto"/>
          <w:sz w:val="21"/>
          <w:szCs w:val="21"/>
        </w:rPr>
        <w:t>19、响应文件的撤回</w:t>
      </w:r>
      <w:bookmarkEnd w:id="183"/>
      <w:bookmarkEnd w:id="184"/>
      <w:bookmarkEnd w:id="185"/>
      <w:bookmarkEnd w:id="186"/>
    </w:p>
    <w:p>
      <w:pPr>
        <w:spacing w:line="360" w:lineRule="auto"/>
        <w:ind w:left="424" w:hanging="424" w:hangingChars="202"/>
        <w:contextualSpacing/>
        <w:rPr>
          <w:rFonts w:ascii="宋体" w:hAnsi="宋体"/>
          <w:color w:val="auto"/>
        </w:rPr>
      </w:pPr>
      <w:r>
        <w:rPr>
          <w:rFonts w:hint="eastAsia" w:ascii="宋体" w:hAnsi="宋体"/>
          <w:color w:val="auto"/>
        </w:rPr>
        <w:t>19.1 供应商在提交响应文件后可以修改或撤回其申请，但供应商必须在规定的响应文件提交截止期之前将修改或撤回的书面通知递交到采购代理机构。且该通知需经正式授权的供应商代表签字方为有效。</w:t>
      </w:r>
    </w:p>
    <w:p>
      <w:pPr>
        <w:spacing w:line="360" w:lineRule="auto"/>
        <w:ind w:left="424" w:hanging="424" w:hangingChars="202"/>
        <w:contextualSpacing/>
        <w:rPr>
          <w:rFonts w:ascii="宋体" w:hAnsi="宋体"/>
          <w:color w:val="auto"/>
        </w:rPr>
      </w:pPr>
      <w:r>
        <w:rPr>
          <w:rFonts w:hint="eastAsia" w:ascii="宋体" w:hAnsi="宋体"/>
          <w:color w:val="auto"/>
        </w:rPr>
        <w:t>19.2 供应商不得在响应文件递交截止时间后至响应文件有效期期满前撤回其响应文件。否则其磋商保证金将按13.8款的规定被没收（如有）。</w:t>
      </w:r>
    </w:p>
    <w:p>
      <w:pPr>
        <w:spacing w:line="360" w:lineRule="auto"/>
        <w:contextualSpacing/>
        <w:rPr>
          <w:rFonts w:ascii="宋体" w:hAnsi="宋体"/>
          <w:color w:val="auto"/>
        </w:rPr>
      </w:pPr>
      <w:r>
        <w:rPr>
          <w:rFonts w:hint="eastAsia" w:ascii="宋体" w:hAnsi="宋体"/>
          <w:color w:val="auto"/>
        </w:rPr>
        <w:t>19.3 供应商的修改或撤回通知应按本须知第16条规定编制、密封、标记和递交。</w:t>
      </w:r>
    </w:p>
    <w:p>
      <w:pPr>
        <w:pStyle w:val="160"/>
        <w:rPr>
          <w:color w:val="auto"/>
        </w:rPr>
      </w:pPr>
      <w:bookmarkStart w:id="187" w:name="_Toc27064271"/>
      <w:bookmarkStart w:id="188" w:name="_Toc27061960"/>
      <w:bookmarkStart w:id="189" w:name="_Toc25688"/>
      <w:bookmarkStart w:id="190" w:name="_Toc6484"/>
      <w:r>
        <w:rPr>
          <w:rFonts w:hint="eastAsia"/>
          <w:color w:val="auto"/>
        </w:rPr>
        <w:t>六、磋商</w:t>
      </w:r>
      <w:bookmarkEnd w:id="187"/>
      <w:bookmarkEnd w:id="188"/>
      <w:bookmarkEnd w:id="189"/>
      <w:bookmarkEnd w:id="190"/>
      <w:bookmarkStart w:id="191" w:name="_Toc111211768"/>
      <w:bookmarkStart w:id="192" w:name="_Toc520356164"/>
    </w:p>
    <w:p>
      <w:pPr>
        <w:pStyle w:val="4"/>
        <w:spacing w:before="0" w:after="0" w:line="360" w:lineRule="auto"/>
        <w:contextualSpacing/>
        <w:rPr>
          <w:rFonts w:ascii="宋体" w:hAnsi="宋体"/>
          <w:color w:val="auto"/>
          <w:sz w:val="21"/>
          <w:szCs w:val="21"/>
        </w:rPr>
      </w:pPr>
      <w:bookmarkStart w:id="193" w:name="_Toc27061961"/>
      <w:bookmarkStart w:id="194" w:name="_Toc27064272"/>
      <w:bookmarkStart w:id="195" w:name="_Toc18732"/>
      <w:bookmarkStart w:id="196" w:name="_Toc5482"/>
      <w:r>
        <w:rPr>
          <w:rFonts w:hint="eastAsia" w:ascii="宋体" w:hAnsi="宋体"/>
          <w:color w:val="auto"/>
          <w:sz w:val="21"/>
          <w:szCs w:val="21"/>
        </w:rPr>
        <w:t>20.</w:t>
      </w:r>
      <w:bookmarkEnd w:id="191"/>
      <w:bookmarkEnd w:id="192"/>
      <w:r>
        <w:rPr>
          <w:rFonts w:hint="eastAsia" w:ascii="宋体" w:hAnsi="宋体"/>
          <w:color w:val="auto"/>
          <w:sz w:val="21"/>
          <w:szCs w:val="21"/>
        </w:rPr>
        <w:t>供应商的响应文件的递交</w:t>
      </w:r>
      <w:bookmarkEnd w:id="193"/>
      <w:bookmarkEnd w:id="194"/>
      <w:bookmarkEnd w:id="195"/>
      <w:bookmarkEnd w:id="196"/>
    </w:p>
    <w:p>
      <w:pPr>
        <w:spacing w:line="360" w:lineRule="auto"/>
        <w:ind w:left="424" w:hanging="424" w:hangingChars="202"/>
        <w:contextualSpacing/>
        <w:rPr>
          <w:rFonts w:ascii="宋体" w:hAnsi="宋体"/>
          <w:color w:val="auto"/>
        </w:rPr>
      </w:pPr>
      <w:r>
        <w:rPr>
          <w:rFonts w:hint="eastAsia" w:ascii="宋体" w:hAnsi="宋体"/>
          <w:color w:val="auto"/>
        </w:rPr>
        <w:t>20.1 采购代理机构按采购邀请的规定，在响应文件提交截止时间的同一时间，在采购邀请预先确定的地点组织磋商。</w:t>
      </w:r>
    </w:p>
    <w:p>
      <w:pPr>
        <w:spacing w:line="360" w:lineRule="auto"/>
        <w:contextualSpacing/>
        <w:rPr>
          <w:rFonts w:ascii="宋体" w:hAnsi="宋体"/>
          <w:color w:val="auto"/>
        </w:rPr>
      </w:pPr>
      <w:r>
        <w:rPr>
          <w:rFonts w:hint="eastAsia" w:ascii="宋体" w:hAnsi="宋体"/>
          <w:color w:val="auto"/>
        </w:rPr>
        <w:t>20.2磋商时，由供应商或其推选的代表检查响应文件的密封情况。</w:t>
      </w:r>
    </w:p>
    <w:p>
      <w:pPr>
        <w:tabs>
          <w:tab w:val="left" w:pos="900"/>
        </w:tabs>
        <w:spacing w:line="360" w:lineRule="auto"/>
        <w:contextualSpacing/>
        <w:rPr>
          <w:rFonts w:ascii="宋体" w:hAnsi="宋体"/>
          <w:color w:val="auto"/>
        </w:rPr>
      </w:pPr>
      <w:r>
        <w:rPr>
          <w:rFonts w:hint="eastAsia" w:ascii="宋体" w:hAnsi="宋体"/>
          <w:color w:val="auto"/>
        </w:rPr>
        <w:t>20.3 除了按照本须知的规定原封退回迟到的响应文件之外，磋商时将不得拒绝任何响应文件。</w:t>
      </w:r>
    </w:p>
    <w:p>
      <w:pPr>
        <w:pStyle w:val="4"/>
        <w:spacing w:before="0" w:after="0" w:line="360" w:lineRule="auto"/>
        <w:contextualSpacing/>
        <w:rPr>
          <w:rFonts w:ascii="宋体" w:hAnsi="宋体"/>
          <w:color w:val="auto"/>
          <w:sz w:val="21"/>
          <w:szCs w:val="21"/>
        </w:rPr>
      </w:pPr>
      <w:bookmarkStart w:id="197" w:name="_Toc27061962"/>
      <w:bookmarkStart w:id="198" w:name="_Toc27064273"/>
      <w:bookmarkStart w:id="199" w:name="_Toc13781"/>
      <w:bookmarkStart w:id="200" w:name="_Toc30422"/>
      <w:r>
        <w:rPr>
          <w:rFonts w:hint="eastAsia" w:ascii="宋体" w:hAnsi="宋体"/>
          <w:color w:val="auto"/>
          <w:sz w:val="21"/>
          <w:szCs w:val="21"/>
        </w:rPr>
        <w:t>21．组建磋商小组</w:t>
      </w:r>
      <w:bookmarkEnd w:id="197"/>
      <w:bookmarkEnd w:id="198"/>
      <w:bookmarkEnd w:id="199"/>
      <w:bookmarkEnd w:id="200"/>
    </w:p>
    <w:p>
      <w:pPr>
        <w:spacing w:line="360" w:lineRule="auto"/>
        <w:contextualSpacing/>
        <w:rPr>
          <w:rFonts w:ascii="宋体" w:hAnsi="宋体"/>
          <w:color w:val="auto"/>
        </w:rPr>
      </w:pPr>
      <w:r>
        <w:rPr>
          <w:rFonts w:hint="eastAsia" w:ascii="宋体" w:hAnsi="宋体"/>
          <w:color w:val="auto"/>
        </w:rPr>
        <w:t>21.1 评审专家应当从政府采购评审专家库内相关专业的专家名单中随机抽取。</w:t>
      </w:r>
    </w:p>
    <w:p>
      <w:pPr>
        <w:spacing w:line="360" w:lineRule="auto"/>
        <w:ind w:left="424" w:hanging="424" w:hangingChars="202"/>
        <w:contextualSpacing/>
        <w:rPr>
          <w:rFonts w:ascii="宋体" w:hAnsi="宋体"/>
          <w:color w:val="auto"/>
        </w:rPr>
      </w:pPr>
      <w:r>
        <w:rPr>
          <w:rFonts w:hint="eastAsia" w:ascii="宋体" w:hAnsi="宋体"/>
          <w:color w:val="auto"/>
        </w:rPr>
        <w:t>21.2 磋商小组由采购人代表和评审专家共3人以上单数组成。</w:t>
      </w:r>
    </w:p>
    <w:p>
      <w:pPr>
        <w:pStyle w:val="4"/>
        <w:spacing w:before="0" w:after="0" w:line="360" w:lineRule="auto"/>
        <w:contextualSpacing/>
        <w:rPr>
          <w:rFonts w:ascii="宋体" w:hAnsi="宋体"/>
          <w:color w:val="auto"/>
          <w:sz w:val="21"/>
          <w:szCs w:val="21"/>
        </w:rPr>
      </w:pPr>
      <w:bookmarkStart w:id="201" w:name="_Toc27064274"/>
      <w:bookmarkStart w:id="202" w:name="_Toc27061963"/>
      <w:bookmarkStart w:id="203" w:name="_Toc29921"/>
      <w:bookmarkStart w:id="204" w:name="_Toc19132"/>
      <w:r>
        <w:rPr>
          <w:rFonts w:hint="eastAsia" w:ascii="宋体" w:hAnsi="宋体"/>
          <w:color w:val="auto"/>
          <w:sz w:val="21"/>
          <w:szCs w:val="21"/>
        </w:rPr>
        <w:t>22、对响应文件的审查和响应性的确定</w:t>
      </w:r>
      <w:bookmarkEnd w:id="201"/>
      <w:bookmarkEnd w:id="202"/>
      <w:bookmarkEnd w:id="203"/>
      <w:bookmarkEnd w:id="204"/>
    </w:p>
    <w:p>
      <w:pPr>
        <w:spacing w:line="360" w:lineRule="auto"/>
        <w:ind w:left="424" w:hanging="424" w:hangingChars="202"/>
        <w:contextualSpacing/>
        <w:rPr>
          <w:rFonts w:ascii="宋体" w:hAnsi="宋体"/>
          <w:color w:val="auto"/>
        </w:rPr>
      </w:pPr>
      <w:r>
        <w:rPr>
          <w:rFonts w:hint="eastAsia" w:ascii="宋体" w:hAnsi="宋体"/>
          <w:color w:val="auto"/>
        </w:rPr>
        <w:t>22.1 磋商前，磋商小组将审核响应文件是否完整、是否合格地签署、是否按磋商文件要求提供相应的资格证明文件。</w:t>
      </w:r>
    </w:p>
    <w:p>
      <w:pPr>
        <w:spacing w:line="360" w:lineRule="auto"/>
        <w:ind w:firstLine="525" w:firstLineChars="250"/>
        <w:contextualSpacing/>
        <w:rPr>
          <w:rFonts w:ascii="宋体" w:hAnsi="宋体"/>
          <w:color w:val="auto"/>
        </w:rPr>
      </w:pPr>
      <w:r>
        <w:rPr>
          <w:rFonts w:hint="eastAsia" w:ascii="宋体" w:hAnsi="宋体"/>
          <w:color w:val="auto"/>
        </w:rPr>
        <w:t>“响应文件”属下列情况之一的，采购人有权拒绝：</w:t>
      </w:r>
    </w:p>
    <w:p>
      <w:pPr>
        <w:spacing w:line="360" w:lineRule="auto"/>
        <w:ind w:left="424" w:leftChars="202"/>
        <w:contextualSpacing/>
        <w:rPr>
          <w:rFonts w:ascii="宋体" w:hAnsi="宋体"/>
          <w:color w:val="auto"/>
        </w:rPr>
      </w:pPr>
      <w:r>
        <w:rPr>
          <w:rFonts w:hint="eastAsia" w:ascii="宋体" w:hAnsi="宋体"/>
          <w:color w:val="auto"/>
        </w:rPr>
        <w:t>（1）响应文件逾期送达的或者未送达指定地点的；</w:t>
      </w:r>
    </w:p>
    <w:p>
      <w:pPr>
        <w:spacing w:line="360" w:lineRule="auto"/>
        <w:ind w:left="424" w:leftChars="202"/>
        <w:contextualSpacing/>
        <w:rPr>
          <w:rFonts w:ascii="宋体" w:hAnsi="宋体"/>
          <w:color w:val="auto"/>
        </w:rPr>
      </w:pPr>
      <w:r>
        <w:rPr>
          <w:rFonts w:hint="eastAsia" w:ascii="宋体" w:hAnsi="宋体"/>
          <w:color w:val="auto"/>
        </w:rPr>
        <w:t>（2）未按照磋商文件规定要求密封、签署、盖章的；</w:t>
      </w:r>
    </w:p>
    <w:p>
      <w:pPr>
        <w:spacing w:line="360" w:lineRule="auto"/>
        <w:ind w:left="424" w:leftChars="202"/>
        <w:contextualSpacing/>
        <w:rPr>
          <w:rFonts w:ascii="宋体" w:hAnsi="宋体"/>
          <w:color w:val="auto"/>
        </w:rPr>
      </w:pPr>
      <w:r>
        <w:rPr>
          <w:rFonts w:hint="eastAsia" w:ascii="宋体" w:hAnsi="宋体"/>
          <w:color w:val="auto"/>
        </w:rPr>
        <w:t>（3）磋商有效期不足的；</w:t>
      </w:r>
    </w:p>
    <w:p>
      <w:pPr>
        <w:spacing w:line="360" w:lineRule="auto"/>
        <w:ind w:left="424" w:leftChars="202"/>
        <w:contextualSpacing/>
        <w:rPr>
          <w:rFonts w:ascii="宋体" w:hAnsi="宋体"/>
          <w:color w:val="auto"/>
        </w:rPr>
      </w:pPr>
      <w:r>
        <w:rPr>
          <w:rFonts w:hint="eastAsia" w:ascii="宋体" w:hAnsi="宋体"/>
          <w:color w:val="auto"/>
        </w:rPr>
        <w:t>（4）提供虚假文件的；</w:t>
      </w:r>
    </w:p>
    <w:p>
      <w:pPr>
        <w:spacing w:line="360" w:lineRule="auto"/>
        <w:ind w:left="424" w:leftChars="202"/>
        <w:contextualSpacing/>
        <w:rPr>
          <w:rFonts w:ascii="宋体" w:hAnsi="宋体"/>
          <w:color w:val="auto"/>
        </w:rPr>
      </w:pPr>
      <w:r>
        <w:rPr>
          <w:rFonts w:hint="eastAsia" w:ascii="宋体" w:hAnsi="宋体"/>
          <w:color w:val="auto"/>
        </w:rPr>
        <w:t>（5）故意隐瞒不良业绩的；</w:t>
      </w:r>
    </w:p>
    <w:p>
      <w:pPr>
        <w:spacing w:line="360" w:lineRule="auto"/>
        <w:ind w:left="424" w:leftChars="202"/>
        <w:contextualSpacing/>
        <w:rPr>
          <w:rFonts w:ascii="宋体" w:hAnsi="宋体"/>
          <w:color w:val="auto"/>
        </w:rPr>
      </w:pPr>
      <w:r>
        <w:rPr>
          <w:rFonts w:hint="eastAsia" w:ascii="宋体" w:hAnsi="宋体"/>
          <w:color w:val="auto"/>
        </w:rPr>
        <w:t>（6）不符合法律、法规和磋商文件中规定的其他实质性要求的；</w:t>
      </w:r>
    </w:p>
    <w:p>
      <w:pPr>
        <w:spacing w:line="360" w:lineRule="auto"/>
        <w:ind w:left="424" w:leftChars="202"/>
        <w:contextualSpacing/>
        <w:rPr>
          <w:rFonts w:ascii="宋体" w:hAnsi="宋体"/>
          <w:color w:val="auto"/>
        </w:rPr>
      </w:pPr>
      <w:r>
        <w:rPr>
          <w:rFonts w:hint="eastAsia" w:ascii="宋体" w:hAnsi="宋体"/>
          <w:color w:val="auto"/>
        </w:rPr>
        <w:t>（7）未按磋商文件要求提供</w:t>
      </w:r>
    </w:p>
    <w:p>
      <w:pPr>
        <w:spacing w:line="360" w:lineRule="auto"/>
        <w:ind w:leftChars="100"/>
        <w:rPr>
          <w:rFonts w:ascii="宋体" w:hAnsi="宋体"/>
          <w:bCs/>
          <w:color w:val="auto"/>
        </w:rPr>
      </w:pPr>
      <w:r>
        <w:rPr>
          <w:rFonts w:hint="eastAsia" w:ascii="宋体" w:hAnsi="宋体"/>
          <w:bCs/>
          <w:color w:val="auto"/>
        </w:rPr>
        <w:t>附件1 磋商申请函</w:t>
      </w:r>
    </w:p>
    <w:p>
      <w:pPr>
        <w:spacing w:line="360" w:lineRule="auto"/>
        <w:ind w:leftChars="100"/>
        <w:rPr>
          <w:rFonts w:ascii="宋体" w:hAnsi="宋体"/>
          <w:bCs/>
          <w:color w:val="auto"/>
        </w:rPr>
      </w:pPr>
      <w:r>
        <w:rPr>
          <w:rFonts w:hint="eastAsia" w:ascii="宋体" w:hAnsi="宋体"/>
          <w:bCs/>
          <w:color w:val="auto"/>
        </w:rPr>
        <w:t>附件2 磋商一览表（格式）</w:t>
      </w:r>
    </w:p>
    <w:p>
      <w:pPr>
        <w:spacing w:line="360" w:lineRule="auto"/>
        <w:ind w:leftChars="100"/>
        <w:rPr>
          <w:rFonts w:ascii="宋体" w:hAnsi="宋体"/>
          <w:bCs/>
          <w:color w:val="auto"/>
        </w:rPr>
      </w:pPr>
      <w:r>
        <w:rPr>
          <w:rFonts w:hint="eastAsia" w:ascii="宋体" w:hAnsi="宋体"/>
          <w:bCs/>
          <w:color w:val="auto"/>
        </w:rPr>
        <w:t>附件3分项报价表</w:t>
      </w:r>
    </w:p>
    <w:p>
      <w:pPr>
        <w:spacing w:line="360" w:lineRule="auto"/>
        <w:ind w:leftChars="100"/>
        <w:rPr>
          <w:rFonts w:ascii="宋体" w:hAnsi="宋体"/>
          <w:bCs/>
          <w:color w:val="auto"/>
        </w:rPr>
      </w:pPr>
      <w:r>
        <w:rPr>
          <w:rFonts w:hint="eastAsia" w:ascii="宋体" w:hAnsi="宋体"/>
          <w:bCs/>
          <w:color w:val="auto"/>
        </w:rPr>
        <w:t>附件4商务条款偏离表格式</w:t>
      </w:r>
    </w:p>
    <w:p>
      <w:pPr>
        <w:spacing w:line="360" w:lineRule="auto"/>
        <w:ind w:leftChars="100"/>
        <w:rPr>
          <w:rFonts w:ascii="宋体" w:hAnsi="宋体"/>
          <w:bCs/>
          <w:color w:val="auto"/>
        </w:rPr>
      </w:pPr>
      <w:r>
        <w:rPr>
          <w:rFonts w:hint="eastAsia" w:ascii="宋体" w:hAnsi="宋体"/>
          <w:bCs/>
          <w:color w:val="auto"/>
        </w:rPr>
        <w:t>附件5 技术偏离表</w:t>
      </w:r>
    </w:p>
    <w:p>
      <w:pPr>
        <w:spacing w:line="360" w:lineRule="auto"/>
        <w:ind w:leftChars="100"/>
        <w:rPr>
          <w:rFonts w:ascii="宋体" w:hAnsi="宋体"/>
          <w:bCs/>
          <w:color w:val="auto"/>
        </w:rPr>
      </w:pPr>
      <w:r>
        <w:rPr>
          <w:rFonts w:hint="eastAsia" w:ascii="宋体" w:hAnsi="宋体"/>
          <w:bCs/>
          <w:color w:val="auto"/>
        </w:rPr>
        <w:t>附件6成交服务费承诺书</w:t>
      </w:r>
    </w:p>
    <w:p>
      <w:pPr>
        <w:spacing w:line="360" w:lineRule="auto"/>
        <w:ind w:leftChars="100"/>
        <w:rPr>
          <w:rFonts w:ascii="宋体" w:hAnsi="宋体"/>
          <w:bCs/>
          <w:color w:val="auto"/>
        </w:rPr>
      </w:pPr>
      <w:r>
        <w:rPr>
          <w:rFonts w:hint="eastAsia" w:ascii="宋体" w:hAnsi="宋体"/>
          <w:bCs/>
          <w:color w:val="auto"/>
        </w:rPr>
        <w:t>附件7资格证明文件</w:t>
      </w:r>
    </w:p>
    <w:p>
      <w:pPr>
        <w:spacing w:line="360" w:lineRule="auto"/>
        <w:ind w:leftChars="100"/>
        <w:rPr>
          <w:rFonts w:ascii="宋体" w:hAnsi="宋体"/>
          <w:bCs/>
          <w:color w:val="auto"/>
        </w:rPr>
      </w:pPr>
      <w:r>
        <w:rPr>
          <w:rFonts w:hint="eastAsia" w:ascii="宋体" w:hAnsi="宋体"/>
          <w:bCs/>
          <w:color w:val="auto"/>
        </w:rPr>
        <w:t>附件7.1 法定代表人授权书</w:t>
      </w:r>
    </w:p>
    <w:p>
      <w:pPr>
        <w:spacing w:line="360" w:lineRule="auto"/>
        <w:ind w:leftChars="100"/>
        <w:rPr>
          <w:rFonts w:ascii="宋体" w:hAnsi="宋体"/>
          <w:bCs/>
          <w:color w:val="auto"/>
        </w:rPr>
      </w:pPr>
      <w:r>
        <w:rPr>
          <w:rFonts w:hint="eastAsia" w:ascii="宋体" w:hAnsi="宋体"/>
          <w:bCs/>
          <w:color w:val="auto"/>
        </w:rPr>
        <w:t>附件7.2 营业执照或法人证书（复印件加盖单位公章）</w:t>
      </w:r>
    </w:p>
    <w:p>
      <w:pPr>
        <w:spacing w:line="360" w:lineRule="auto"/>
        <w:ind w:leftChars="100"/>
        <w:rPr>
          <w:rFonts w:ascii="宋体" w:hAnsi="宋体"/>
          <w:bCs/>
          <w:color w:val="auto"/>
        </w:rPr>
      </w:pPr>
      <w:r>
        <w:rPr>
          <w:rFonts w:hint="eastAsia" w:ascii="宋体" w:hAnsi="宋体"/>
          <w:bCs/>
          <w:color w:val="auto"/>
        </w:rPr>
        <w:t>附件7.3 供应商资格声明</w:t>
      </w:r>
    </w:p>
    <w:p>
      <w:pPr>
        <w:spacing w:line="360" w:lineRule="auto"/>
        <w:ind w:leftChars="100"/>
        <w:rPr>
          <w:rFonts w:ascii="宋体" w:hAnsi="宋体"/>
          <w:bCs/>
          <w:color w:val="auto"/>
        </w:rPr>
      </w:pPr>
      <w:r>
        <w:rPr>
          <w:rFonts w:hint="eastAsia" w:ascii="宋体" w:hAnsi="宋体"/>
          <w:bCs/>
          <w:color w:val="auto"/>
        </w:rPr>
        <w:t>附件7.4供应商的资信证明</w:t>
      </w:r>
    </w:p>
    <w:p>
      <w:pPr>
        <w:spacing w:line="360" w:lineRule="auto"/>
        <w:ind w:leftChars="100"/>
        <w:rPr>
          <w:rFonts w:ascii="宋体" w:hAnsi="宋体"/>
          <w:bCs/>
          <w:color w:val="auto"/>
        </w:rPr>
      </w:pPr>
      <w:r>
        <w:rPr>
          <w:rFonts w:hint="eastAsia" w:ascii="宋体" w:hAnsi="宋体"/>
          <w:bCs/>
          <w:color w:val="auto"/>
        </w:rPr>
        <w:t>附件7.5社会保障资金缴纳记录</w:t>
      </w:r>
    </w:p>
    <w:p>
      <w:pPr>
        <w:spacing w:line="360" w:lineRule="auto"/>
        <w:ind w:leftChars="100"/>
        <w:rPr>
          <w:rFonts w:ascii="宋体" w:hAnsi="宋体"/>
          <w:bCs/>
          <w:color w:val="auto"/>
        </w:rPr>
      </w:pPr>
      <w:r>
        <w:rPr>
          <w:rFonts w:hint="eastAsia" w:ascii="宋体" w:hAnsi="宋体"/>
          <w:bCs/>
          <w:color w:val="auto"/>
        </w:rPr>
        <w:t>附件7.6依法缴纳税收的完税证明</w:t>
      </w:r>
    </w:p>
    <w:p>
      <w:pPr>
        <w:spacing w:line="360" w:lineRule="auto"/>
        <w:ind w:leftChars="100"/>
        <w:rPr>
          <w:rFonts w:ascii="宋体" w:hAnsi="宋体"/>
          <w:color w:val="auto"/>
        </w:rPr>
      </w:pPr>
      <w:r>
        <w:rPr>
          <w:rFonts w:hint="eastAsia" w:ascii="宋体" w:hAnsi="宋体"/>
          <w:bCs/>
          <w:color w:val="auto"/>
        </w:rPr>
        <w:t>附件7.7</w:t>
      </w:r>
      <w:r>
        <w:rPr>
          <w:rFonts w:hint="eastAsia" w:ascii="宋体" w:hAnsi="宋体"/>
          <w:color w:val="auto"/>
        </w:rPr>
        <w:t>参加政府采购活动近三年内，在经营活动中没有重大违法记录声明</w:t>
      </w:r>
    </w:p>
    <w:p>
      <w:pPr>
        <w:spacing w:line="360" w:lineRule="auto"/>
        <w:ind w:left="525" w:hanging="525" w:hangingChars="250"/>
        <w:contextualSpacing/>
        <w:rPr>
          <w:rFonts w:ascii="宋体" w:hAnsi="宋体"/>
          <w:color w:val="auto"/>
        </w:rPr>
      </w:pPr>
      <w:r>
        <w:rPr>
          <w:rFonts w:hint="eastAsia" w:ascii="宋体" w:hAnsi="宋体"/>
          <w:color w:val="auto"/>
        </w:rPr>
        <w:t>22.2 响应文件中算术错误将按以下方法更正：响应文件中“磋商一览表”（报价表）内容与响应文件中明细表内容不一致的，以“磋商一览表”（报价表）为准；若单价计算的结果与总价不一致，以单价为准修改总价；若用文字表示的数值与数字表示的数值不一致，以文字表示的数值为准。对不同文字文本响应文件的解释发生异议的，以中文文本为准。如果供应商不接受对其错误的更改，其投标将被拒绝。</w:t>
      </w:r>
    </w:p>
    <w:p>
      <w:pPr>
        <w:spacing w:line="360" w:lineRule="auto"/>
        <w:ind w:left="525" w:hanging="525" w:hangingChars="250"/>
        <w:contextualSpacing/>
        <w:rPr>
          <w:rFonts w:ascii="宋体" w:hAnsi="宋体"/>
          <w:color w:val="auto"/>
        </w:rPr>
      </w:pPr>
      <w:r>
        <w:rPr>
          <w:rFonts w:hint="eastAsia" w:ascii="宋体" w:hAnsi="宋体"/>
          <w:color w:val="auto"/>
        </w:rPr>
        <w:t>22.3 磋商小组将确定每一供应商是否对《磋商文件》的要求作出了实质性的响应，而没有重大偏离。实质性响应的响应文件是指响应文件符合磋商文件的所有条款、条件和规定且没有重大偏离或保留。重大偏离或保留系指影响到磋商文件规定的服务范围和服务质量，或限制了采购人的权力和供应商的义务的规定，而纠正这些偏离将影响到其他提交实质性响应响应文件的供应商的公平竞争地位。</w:t>
      </w:r>
    </w:p>
    <w:p>
      <w:pPr>
        <w:spacing w:line="360" w:lineRule="auto"/>
        <w:contextualSpacing/>
        <w:rPr>
          <w:rFonts w:ascii="宋体" w:hAnsi="宋体"/>
          <w:color w:val="auto"/>
        </w:rPr>
      </w:pPr>
      <w:r>
        <w:rPr>
          <w:rFonts w:hint="eastAsia" w:ascii="宋体" w:hAnsi="宋体"/>
          <w:color w:val="auto"/>
        </w:rPr>
        <w:t>22.4 磋商小组判断响应文件的响应性仅基于响应文件本身而不靠外部证据。</w:t>
      </w:r>
    </w:p>
    <w:p>
      <w:pPr>
        <w:spacing w:line="360" w:lineRule="auto"/>
        <w:ind w:left="525" w:hanging="525" w:hangingChars="250"/>
        <w:contextualSpacing/>
        <w:rPr>
          <w:rFonts w:ascii="宋体" w:hAnsi="宋体"/>
          <w:color w:val="auto"/>
        </w:rPr>
      </w:pPr>
      <w:r>
        <w:rPr>
          <w:rFonts w:hint="eastAsia" w:ascii="宋体" w:hAnsi="宋体"/>
          <w:color w:val="auto"/>
        </w:rPr>
        <w:t>22.5磋商小组有权拒绝被确定为非实质性响应的响应文件，供应商不能通过修正或撤销不符之处而使其响应文件成为实质性响应的响应文件。</w:t>
      </w:r>
    </w:p>
    <w:p>
      <w:pPr>
        <w:spacing w:line="360" w:lineRule="auto"/>
        <w:ind w:left="525" w:hanging="525" w:hangingChars="250"/>
        <w:contextualSpacing/>
        <w:rPr>
          <w:rFonts w:ascii="宋体" w:hAnsi="宋体"/>
          <w:color w:val="auto"/>
        </w:rPr>
      </w:pPr>
      <w:r>
        <w:rPr>
          <w:rFonts w:hint="eastAsia" w:ascii="宋体" w:hAnsi="宋体"/>
          <w:color w:val="auto"/>
        </w:rPr>
        <w:t>22.6 磋商之后，直到授予成交候选供应商合同止，凡与本次磋商有关人员对属于审查、澄清、评价和比较的有关资料以及确定成交候选供应商意向等，均不得向供应商或其他无关的人员透露。</w:t>
      </w:r>
    </w:p>
    <w:p>
      <w:pPr>
        <w:spacing w:line="360" w:lineRule="auto"/>
        <w:ind w:left="525" w:hanging="525" w:hangingChars="250"/>
        <w:contextualSpacing/>
        <w:rPr>
          <w:rFonts w:ascii="宋体" w:hAnsi="宋体"/>
          <w:color w:val="auto"/>
        </w:rPr>
      </w:pPr>
      <w:r>
        <w:rPr>
          <w:rFonts w:hint="eastAsia" w:ascii="宋体" w:hAnsi="宋体"/>
          <w:color w:val="auto"/>
        </w:rPr>
        <w:t>22.7 在磋商期间，供应商试图影响采购人和磋商小组的任何活动，将导致其响应被拒绝，并承担相应的法律责任。</w:t>
      </w:r>
    </w:p>
    <w:p>
      <w:pPr>
        <w:spacing w:line="360" w:lineRule="auto"/>
        <w:contextualSpacing/>
        <w:rPr>
          <w:rFonts w:ascii="宋体" w:hAnsi="宋体"/>
          <w:color w:val="auto"/>
        </w:rPr>
      </w:pPr>
      <w:r>
        <w:rPr>
          <w:rFonts w:hint="eastAsia" w:ascii="宋体" w:hAnsi="宋体"/>
          <w:color w:val="auto"/>
        </w:rPr>
        <w:t>22.8磋商</w:t>
      </w:r>
    </w:p>
    <w:p>
      <w:pPr>
        <w:spacing w:line="360" w:lineRule="auto"/>
        <w:ind w:left="141" w:leftChars="67" w:firstLine="405"/>
        <w:contextualSpacing/>
        <w:rPr>
          <w:rFonts w:ascii="宋体" w:hAnsi="宋体"/>
          <w:color w:val="auto"/>
        </w:rPr>
      </w:pPr>
      <w:r>
        <w:rPr>
          <w:rFonts w:hint="eastAsia" w:ascii="宋体" w:hAnsi="宋体"/>
          <w:color w:val="auto"/>
        </w:rPr>
        <w:t>磋商小组所有成员集中与单一供应商进行磋商。各供应商向磋商小组陈述提供需求的基本性能、技术特点等，并应磋商小组要求进行技术答疑。在磋商中，磋商的任何一方不得透漏与磋商有关的其他供应商的技术资料、价格和其他信息。磋商文件有实质变动的，磋商小组应当以书面形式通知供应商。</w:t>
      </w:r>
    </w:p>
    <w:p>
      <w:pPr>
        <w:spacing w:line="360" w:lineRule="auto"/>
        <w:ind w:left="141" w:leftChars="67" w:firstLine="405"/>
        <w:contextualSpacing/>
        <w:rPr>
          <w:rFonts w:ascii="宋体" w:hAnsi="宋体"/>
          <w:color w:val="auto"/>
        </w:rPr>
      </w:pPr>
      <w:r>
        <w:rPr>
          <w:rFonts w:hint="eastAsia" w:ascii="宋体" w:hAnsi="宋体"/>
          <w:color w:val="auto"/>
        </w:rPr>
        <w:t>磋商将就采购的技术、服务要求以及合同草案条款等进行磋商。供应商应如实提供磋商小组要求提供的资料，并以书面形式作以承诺和澄清，磋商后单独提供针对该项目的最终报价。</w:t>
      </w:r>
    </w:p>
    <w:p>
      <w:pPr>
        <w:pStyle w:val="4"/>
        <w:spacing w:before="0" w:after="0" w:line="360" w:lineRule="auto"/>
        <w:contextualSpacing/>
        <w:rPr>
          <w:rFonts w:ascii="宋体" w:hAnsi="宋体"/>
          <w:color w:val="auto"/>
          <w:sz w:val="21"/>
          <w:szCs w:val="21"/>
        </w:rPr>
      </w:pPr>
      <w:bookmarkStart w:id="205" w:name="_Toc27061964"/>
      <w:bookmarkStart w:id="206" w:name="_Toc27064275"/>
      <w:bookmarkStart w:id="207" w:name="_Toc25941"/>
      <w:bookmarkStart w:id="208" w:name="_Toc15098"/>
      <w:r>
        <w:rPr>
          <w:rFonts w:hint="eastAsia" w:ascii="宋体" w:hAnsi="宋体"/>
          <w:color w:val="auto"/>
          <w:sz w:val="21"/>
          <w:szCs w:val="21"/>
        </w:rPr>
        <w:t>23、评审原则及方法</w:t>
      </w:r>
      <w:bookmarkEnd w:id="205"/>
      <w:bookmarkEnd w:id="206"/>
      <w:bookmarkEnd w:id="207"/>
      <w:bookmarkEnd w:id="208"/>
    </w:p>
    <w:p>
      <w:pPr>
        <w:pStyle w:val="12"/>
        <w:spacing w:line="360" w:lineRule="auto"/>
        <w:rPr>
          <w:rFonts w:ascii="宋体" w:hAnsi="宋体"/>
          <w:color w:val="auto"/>
        </w:rPr>
      </w:pPr>
      <w:r>
        <w:rPr>
          <w:rFonts w:hint="eastAsia" w:ascii="宋体" w:hAnsi="宋体"/>
          <w:color w:val="auto"/>
        </w:rPr>
        <w:t>23.1 磋商小组将遵循</w:t>
      </w:r>
      <w:r>
        <w:rPr>
          <w:rFonts w:ascii="Arial" w:hAnsi="Arial" w:cs="Arial"/>
          <w:color w:val="auto"/>
        </w:rPr>
        <w:t>客观、公正、审慎</w:t>
      </w:r>
      <w:r>
        <w:rPr>
          <w:rFonts w:hint="eastAsia" w:ascii="宋体" w:hAnsi="宋体"/>
          <w:color w:val="auto"/>
        </w:rPr>
        <w:t>的原则进行评审。对所有供应商的响应文件采用相</w:t>
      </w:r>
    </w:p>
    <w:p>
      <w:pPr>
        <w:pStyle w:val="12"/>
        <w:spacing w:line="360" w:lineRule="auto"/>
        <w:ind w:firstLine="525" w:firstLineChars="250"/>
        <w:rPr>
          <w:color w:val="auto"/>
        </w:rPr>
      </w:pPr>
      <w:r>
        <w:rPr>
          <w:rFonts w:hint="eastAsia" w:ascii="宋体" w:hAnsi="宋体"/>
          <w:color w:val="auto"/>
        </w:rPr>
        <w:t>同的标准进行综合评审。</w:t>
      </w:r>
    </w:p>
    <w:p>
      <w:pPr>
        <w:spacing w:line="360" w:lineRule="auto"/>
        <w:contextualSpacing/>
        <w:rPr>
          <w:rFonts w:ascii="宋体" w:hAnsi="宋体"/>
          <w:color w:val="auto"/>
        </w:rPr>
      </w:pPr>
      <w:r>
        <w:rPr>
          <w:rFonts w:hint="eastAsia" w:ascii="宋体" w:hAnsi="宋体"/>
          <w:color w:val="auto"/>
        </w:rPr>
        <w:t>23.2 磋商严格按照有关法律规定的有关磋商要求，以及磋商文件的要求和条件进行。</w:t>
      </w:r>
    </w:p>
    <w:p>
      <w:pPr>
        <w:spacing w:line="360" w:lineRule="auto"/>
        <w:ind w:firstLine="525" w:firstLineChars="250"/>
        <w:contextualSpacing/>
        <w:rPr>
          <w:rFonts w:ascii="宋体" w:hAnsi="宋体"/>
          <w:color w:val="auto"/>
        </w:rPr>
      </w:pPr>
      <w:r>
        <w:rPr>
          <w:rFonts w:hint="eastAsia" w:ascii="宋体" w:hAnsi="宋体"/>
          <w:color w:val="auto"/>
        </w:rPr>
        <w:t>评审方法详见第六部分评分方法和标准。</w:t>
      </w:r>
    </w:p>
    <w:p>
      <w:pPr>
        <w:pStyle w:val="4"/>
        <w:spacing w:before="0" w:after="0" w:line="360" w:lineRule="auto"/>
        <w:contextualSpacing/>
        <w:rPr>
          <w:rFonts w:ascii="宋体" w:hAnsi="宋体"/>
          <w:color w:val="auto"/>
          <w:sz w:val="21"/>
          <w:szCs w:val="21"/>
        </w:rPr>
      </w:pPr>
      <w:bookmarkStart w:id="209" w:name="_Toc27061965"/>
      <w:bookmarkStart w:id="210" w:name="_Toc412963685"/>
      <w:bookmarkStart w:id="211" w:name="_Toc318837916"/>
      <w:bookmarkStart w:id="212" w:name="_Toc27064276"/>
      <w:bookmarkStart w:id="213" w:name="_Toc5405"/>
      <w:bookmarkStart w:id="214" w:name="_Toc26911"/>
      <w:r>
        <w:rPr>
          <w:rFonts w:hint="eastAsia" w:ascii="宋体" w:hAnsi="宋体"/>
          <w:color w:val="auto"/>
          <w:sz w:val="21"/>
          <w:szCs w:val="21"/>
        </w:rPr>
        <w:t>24、</w:t>
      </w:r>
      <w:bookmarkEnd w:id="209"/>
      <w:bookmarkEnd w:id="210"/>
      <w:bookmarkEnd w:id="211"/>
      <w:bookmarkEnd w:id="212"/>
      <w:r>
        <w:rPr>
          <w:rFonts w:hint="eastAsia" w:ascii="宋体" w:hAnsi="宋体"/>
          <w:color w:val="auto"/>
          <w:sz w:val="21"/>
          <w:szCs w:val="21"/>
        </w:rPr>
        <w:t>终止竞争性磋商采购活动</w:t>
      </w:r>
      <w:bookmarkEnd w:id="213"/>
      <w:bookmarkEnd w:id="214"/>
    </w:p>
    <w:p>
      <w:pPr>
        <w:spacing w:line="360" w:lineRule="auto"/>
        <w:ind w:firstLine="420" w:firstLineChars="200"/>
        <w:contextualSpacing/>
        <w:rPr>
          <w:rFonts w:ascii="宋体" w:hAnsi="宋体"/>
          <w:color w:val="auto"/>
        </w:rPr>
      </w:pPr>
      <w:r>
        <w:rPr>
          <w:rFonts w:hint="eastAsia" w:ascii="宋体" w:hAnsi="宋体"/>
          <w:color w:val="auto"/>
        </w:rPr>
        <w:t>出现下列情况之一的，采购人或者采购代理机构应当终止竞争性磋商采购活动，发布项目终止公告并说明原因，重新开展采购活动：</w:t>
      </w:r>
    </w:p>
    <w:p>
      <w:pPr>
        <w:spacing w:line="360" w:lineRule="auto"/>
        <w:ind w:firstLine="420" w:firstLineChars="200"/>
        <w:contextualSpacing/>
        <w:rPr>
          <w:rFonts w:ascii="宋体" w:hAnsi="宋体"/>
          <w:color w:val="auto"/>
        </w:rPr>
      </w:pPr>
      <w:r>
        <w:rPr>
          <w:rFonts w:hint="eastAsia" w:ascii="宋体" w:hAnsi="宋体"/>
          <w:color w:val="auto"/>
        </w:rPr>
        <w:t>（1）因情况变化，不再符合规定的竞争性磋商采购方式适用情形的；</w:t>
      </w:r>
    </w:p>
    <w:p>
      <w:pPr>
        <w:spacing w:line="360" w:lineRule="auto"/>
        <w:ind w:firstLine="420" w:firstLineChars="200"/>
        <w:contextualSpacing/>
        <w:rPr>
          <w:rFonts w:ascii="宋体" w:hAnsi="宋体"/>
          <w:color w:val="auto"/>
        </w:rPr>
      </w:pPr>
      <w:r>
        <w:rPr>
          <w:rFonts w:hint="eastAsia" w:ascii="宋体" w:hAnsi="宋体"/>
          <w:color w:val="auto"/>
        </w:rPr>
        <w:t>（2）出现影响采购公正的违法、违规行为的；</w:t>
      </w:r>
    </w:p>
    <w:p>
      <w:pPr>
        <w:spacing w:line="360" w:lineRule="auto"/>
        <w:ind w:firstLine="420" w:firstLineChars="200"/>
        <w:contextualSpacing/>
        <w:rPr>
          <w:rFonts w:ascii="宋体" w:hAnsi="宋体"/>
          <w:color w:val="auto"/>
        </w:rPr>
      </w:pPr>
      <w:r>
        <w:rPr>
          <w:rFonts w:hint="eastAsia" w:ascii="宋体" w:hAnsi="宋体"/>
          <w:color w:val="auto"/>
        </w:rPr>
        <w:t>（3）除市场竞争不充分的科研项目，以及需要扶持的科技成果转化项目规定的情形外，在采购过程中符合要求的供应商或者报价未超过采购预算的供应商不足3家的；</w:t>
      </w:r>
    </w:p>
    <w:p>
      <w:pPr>
        <w:spacing w:line="360" w:lineRule="auto"/>
        <w:ind w:firstLine="420" w:firstLineChars="200"/>
        <w:contextualSpacing/>
        <w:rPr>
          <w:rFonts w:ascii="宋体" w:hAnsi="宋体"/>
          <w:color w:val="auto"/>
        </w:rPr>
      </w:pPr>
      <w:r>
        <w:rPr>
          <w:rFonts w:hint="eastAsia" w:ascii="宋体" w:hAnsi="宋体"/>
          <w:color w:val="auto"/>
        </w:rPr>
        <w:t>（4）政府购买服务项目，采购过程中符合要求的供应商只有1家的。</w:t>
      </w:r>
    </w:p>
    <w:p>
      <w:pPr>
        <w:spacing w:line="360" w:lineRule="auto"/>
        <w:ind w:left="105" w:leftChars="50" w:firstLine="315" w:firstLineChars="150"/>
        <w:contextualSpacing/>
        <w:rPr>
          <w:rFonts w:ascii="宋体" w:hAnsi="宋体"/>
          <w:color w:val="auto"/>
        </w:rPr>
      </w:pPr>
    </w:p>
    <w:p>
      <w:pPr>
        <w:pStyle w:val="4"/>
        <w:spacing w:before="0" w:after="0" w:line="360" w:lineRule="auto"/>
        <w:contextualSpacing/>
        <w:rPr>
          <w:rFonts w:ascii="宋体" w:hAnsi="宋体"/>
          <w:color w:val="auto"/>
          <w:sz w:val="21"/>
          <w:szCs w:val="21"/>
        </w:rPr>
      </w:pPr>
      <w:bookmarkStart w:id="215" w:name="_Toc27061966"/>
      <w:bookmarkStart w:id="216" w:name="_Toc27064277"/>
      <w:bookmarkStart w:id="217" w:name="_Toc9356"/>
      <w:bookmarkStart w:id="218" w:name="_Toc23047"/>
      <w:r>
        <w:rPr>
          <w:rFonts w:hint="eastAsia" w:ascii="宋体" w:hAnsi="宋体"/>
          <w:color w:val="auto"/>
          <w:sz w:val="21"/>
          <w:szCs w:val="21"/>
        </w:rPr>
        <w:t>25、保密</w:t>
      </w:r>
      <w:bookmarkEnd w:id="215"/>
      <w:bookmarkEnd w:id="216"/>
      <w:bookmarkEnd w:id="217"/>
      <w:bookmarkEnd w:id="218"/>
    </w:p>
    <w:p>
      <w:pPr>
        <w:spacing w:line="360" w:lineRule="auto"/>
        <w:ind w:left="525" w:hanging="525" w:hangingChars="250"/>
        <w:contextualSpacing/>
        <w:rPr>
          <w:rFonts w:ascii="宋体" w:hAnsi="宋体"/>
          <w:color w:val="auto"/>
        </w:rPr>
      </w:pPr>
      <w:r>
        <w:rPr>
          <w:rFonts w:hint="eastAsia" w:ascii="宋体" w:hAnsi="宋体"/>
          <w:color w:val="auto"/>
        </w:rPr>
        <w:t>25.1 有关磋商的任何情况，如文件的审查、澄清、承诺、评审和比较以及有关授予合同的意向等均不得透露。</w:t>
      </w:r>
    </w:p>
    <w:p>
      <w:pPr>
        <w:spacing w:line="360" w:lineRule="auto"/>
        <w:ind w:left="525" w:hanging="525" w:hangingChars="250"/>
        <w:contextualSpacing/>
        <w:rPr>
          <w:rFonts w:ascii="宋体" w:hAnsi="宋体"/>
          <w:color w:val="auto"/>
        </w:rPr>
      </w:pPr>
      <w:r>
        <w:rPr>
          <w:rFonts w:hint="eastAsia" w:ascii="宋体" w:hAnsi="宋体"/>
          <w:color w:val="auto"/>
        </w:rPr>
        <w:t>25.2 供应商不得以任何方式干扰采购人和磋商小组的评审活动，否则其响应无效并追究其法律责任。</w:t>
      </w:r>
    </w:p>
    <w:p>
      <w:pPr>
        <w:pStyle w:val="160"/>
        <w:rPr>
          <w:color w:val="auto"/>
        </w:rPr>
      </w:pPr>
      <w:bookmarkStart w:id="219" w:name="_Toc27064278"/>
      <w:bookmarkStart w:id="220" w:name="_Toc27061967"/>
      <w:bookmarkStart w:id="221" w:name="_Toc29530"/>
      <w:bookmarkStart w:id="222" w:name="_Toc28023"/>
      <w:r>
        <w:rPr>
          <w:rFonts w:hint="eastAsia"/>
          <w:color w:val="auto"/>
        </w:rPr>
        <w:t>七、授予合同</w:t>
      </w:r>
      <w:bookmarkEnd w:id="219"/>
      <w:bookmarkEnd w:id="220"/>
      <w:bookmarkEnd w:id="221"/>
      <w:bookmarkEnd w:id="222"/>
    </w:p>
    <w:p>
      <w:pPr>
        <w:pStyle w:val="4"/>
        <w:spacing w:before="0" w:after="0" w:line="360" w:lineRule="auto"/>
        <w:contextualSpacing/>
        <w:rPr>
          <w:rFonts w:ascii="宋体" w:hAnsi="宋体"/>
          <w:color w:val="auto"/>
          <w:sz w:val="21"/>
          <w:szCs w:val="21"/>
        </w:rPr>
      </w:pPr>
      <w:bookmarkStart w:id="223" w:name="_Toc27061968"/>
      <w:bookmarkStart w:id="224" w:name="_Toc27064279"/>
      <w:bookmarkStart w:id="225" w:name="_Toc17235"/>
      <w:bookmarkStart w:id="226" w:name="_Toc14370"/>
      <w:r>
        <w:rPr>
          <w:rFonts w:hint="eastAsia" w:ascii="宋体" w:hAnsi="宋体"/>
          <w:color w:val="auto"/>
          <w:sz w:val="21"/>
          <w:szCs w:val="21"/>
        </w:rPr>
        <w:t>26、成交供应商确定准则</w:t>
      </w:r>
      <w:bookmarkEnd w:id="223"/>
      <w:bookmarkEnd w:id="224"/>
      <w:bookmarkEnd w:id="225"/>
      <w:bookmarkEnd w:id="226"/>
    </w:p>
    <w:p>
      <w:pPr>
        <w:tabs>
          <w:tab w:val="left" w:pos="900"/>
          <w:tab w:val="left" w:pos="1080"/>
        </w:tabs>
        <w:spacing w:line="360" w:lineRule="auto"/>
        <w:ind w:left="424" w:hanging="424" w:hangingChars="202"/>
        <w:contextualSpacing/>
        <w:rPr>
          <w:rFonts w:ascii="宋体" w:hAnsi="宋体" w:cs="宋体"/>
          <w:color w:val="auto"/>
        </w:rPr>
      </w:pPr>
      <w:r>
        <w:rPr>
          <w:rFonts w:hint="eastAsia" w:ascii="宋体" w:hAnsi="宋体"/>
          <w:color w:val="auto"/>
        </w:rPr>
        <w:t>26.1 经磋商确定最终采购需求和提交最后报价的供应商后，磋商小组采用综合评分法对提交最后报价的供应商的响应文件和最后报价进行综合评分。</w:t>
      </w:r>
      <w:r>
        <w:rPr>
          <w:rFonts w:hint="eastAsia" w:ascii="宋体" w:hAnsi="宋体" w:cs="宋体"/>
          <w:color w:val="auto"/>
        </w:rPr>
        <w:t>按评审后得分由高到低顺序排列，磋商小组向采购人推荐前三名作为本项目的成交候选人；得分相同的，按投标报价由低到高顺序排列；得分与投标报价均相同的，按技术部分得分由高到低排列。</w:t>
      </w:r>
    </w:p>
    <w:p>
      <w:pPr>
        <w:tabs>
          <w:tab w:val="left" w:pos="900"/>
          <w:tab w:val="left" w:pos="1080"/>
        </w:tabs>
        <w:spacing w:line="360" w:lineRule="auto"/>
        <w:ind w:left="407" w:leftChars="194"/>
        <w:contextualSpacing/>
        <w:rPr>
          <w:rFonts w:ascii="宋体" w:hAnsi="宋体"/>
          <w:color w:val="auto"/>
        </w:rPr>
      </w:pPr>
      <w:r>
        <w:rPr>
          <w:rFonts w:hint="eastAsia" w:ascii="宋体" w:hAnsi="宋体"/>
          <w:color w:val="auto"/>
        </w:rPr>
        <w:t xml:space="preserve"> 综合评分法，是指响应文件满足磋商文件全部实质性要求且按评审因素的量化指标评审得分最高的供应商为成交候选供应商的评审方法。</w:t>
      </w:r>
    </w:p>
    <w:p>
      <w:pPr>
        <w:pStyle w:val="4"/>
        <w:spacing w:before="0" w:after="0" w:line="360" w:lineRule="auto"/>
        <w:contextualSpacing/>
        <w:rPr>
          <w:rFonts w:ascii="宋体" w:hAnsi="宋体"/>
          <w:color w:val="auto"/>
          <w:sz w:val="21"/>
          <w:szCs w:val="21"/>
        </w:rPr>
      </w:pPr>
      <w:bookmarkStart w:id="227" w:name="_Toc27064280"/>
      <w:bookmarkStart w:id="228" w:name="_Toc27061969"/>
      <w:bookmarkStart w:id="229" w:name="_Toc17194"/>
      <w:bookmarkStart w:id="230" w:name="_Toc25312"/>
      <w:r>
        <w:rPr>
          <w:rFonts w:hint="eastAsia" w:ascii="宋体" w:hAnsi="宋体"/>
          <w:color w:val="auto"/>
          <w:sz w:val="21"/>
          <w:szCs w:val="21"/>
        </w:rPr>
        <w:t>27、成交结果公告</w:t>
      </w:r>
      <w:bookmarkEnd w:id="227"/>
      <w:bookmarkEnd w:id="228"/>
      <w:bookmarkEnd w:id="229"/>
      <w:bookmarkEnd w:id="230"/>
    </w:p>
    <w:p>
      <w:pPr>
        <w:spacing w:line="360" w:lineRule="auto"/>
        <w:ind w:left="525" w:hanging="525" w:hangingChars="250"/>
        <w:contextualSpacing/>
        <w:rPr>
          <w:rFonts w:ascii="宋体" w:hAnsi="宋体"/>
          <w:color w:val="auto"/>
        </w:rPr>
      </w:pPr>
      <w:r>
        <w:rPr>
          <w:rFonts w:hint="eastAsia" w:ascii="宋体" w:hAnsi="宋体"/>
          <w:color w:val="auto"/>
        </w:rPr>
        <w:t>27.1 采购代理机构根据磋商小组的评审资料和评审结果编写磋商结果报告，并提交采购人。</w:t>
      </w:r>
    </w:p>
    <w:p>
      <w:pPr>
        <w:spacing w:line="360" w:lineRule="auto"/>
        <w:ind w:left="525" w:hanging="525" w:hangingChars="250"/>
        <w:contextualSpacing/>
        <w:rPr>
          <w:rFonts w:ascii="宋体" w:hAnsi="宋体"/>
          <w:color w:val="auto"/>
        </w:rPr>
      </w:pPr>
      <w:r>
        <w:rPr>
          <w:rFonts w:hint="eastAsia" w:ascii="宋体" w:hAnsi="宋体"/>
          <w:color w:val="auto"/>
        </w:rPr>
        <w:t>27.2 采购人确认评审结果后，采购代理机构将在财政部门指定的政府采购信息发布媒体发布成交结果公告。</w:t>
      </w:r>
    </w:p>
    <w:p>
      <w:pPr>
        <w:spacing w:line="360" w:lineRule="auto"/>
        <w:ind w:left="525" w:hanging="525" w:hangingChars="250"/>
        <w:contextualSpacing/>
        <w:rPr>
          <w:rFonts w:ascii="宋体" w:hAnsi="宋体"/>
          <w:color w:val="auto"/>
        </w:rPr>
      </w:pPr>
      <w:r>
        <w:rPr>
          <w:rFonts w:hint="eastAsia" w:ascii="宋体" w:hAnsi="宋体"/>
          <w:color w:val="auto"/>
        </w:rPr>
        <w:t>27.3 在公告期间，供应商对磋商过程和成交结果有疑问的，以书面形式向采购代理机构提出质疑，采购人委托采购代理机构处理质疑的相关问题。</w:t>
      </w:r>
    </w:p>
    <w:p>
      <w:pPr>
        <w:spacing w:line="360" w:lineRule="auto"/>
        <w:ind w:left="525" w:hanging="525" w:hangingChars="250"/>
        <w:contextualSpacing/>
        <w:rPr>
          <w:rFonts w:ascii="宋体" w:hAnsi="宋体"/>
          <w:color w:val="auto"/>
        </w:rPr>
      </w:pPr>
      <w:r>
        <w:rPr>
          <w:rFonts w:hint="eastAsia" w:ascii="宋体" w:hAnsi="宋体"/>
          <w:color w:val="auto"/>
        </w:rPr>
        <w:t>27.4 采购人（或采购人委托采购代理机构）将根据相关法规在规定时间内给予回复。</w:t>
      </w:r>
    </w:p>
    <w:p>
      <w:pPr>
        <w:autoSpaceDE w:val="0"/>
        <w:autoSpaceDN w:val="0"/>
        <w:spacing w:line="360" w:lineRule="auto"/>
        <w:ind w:left="525" w:hanging="525" w:hangingChars="250"/>
        <w:contextualSpacing/>
        <w:jc w:val="left"/>
        <w:rPr>
          <w:rFonts w:ascii="宋体" w:hAnsi="宋体" w:cs="宋体"/>
          <w:color w:val="auto"/>
          <w:kern w:val="0"/>
        </w:rPr>
      </w:pPr>
      <w:r>
        <w:rPr>
          <w:rFonts w:hint="eastAsia" w:ascii="宋体" w:hAnsi="宋体"/>
          <w:color w:val="auto"/>
        </w:rPr>
        <w:t>27.5 提出质疑的供应商对采购人、采购代理机构的答复不满意或者采购人、采购代理机构未在规定的时间内作出答复的，提出质疑的供应商</w:t>
      </w:r>
      <w:r>
        <w:rPr>
          <w:rFonts w:hint="eastAsia" w:ascii="宋体" w:hAnsi="宋体" w:cs="宋体"/>
          <w:color w:val="auto"/>
          <w:kern w:val="0"/>
        </w:rPr>
        <w:t>有权</w:t>
      </w:r>
      <w:r>
        <w:rPr>
          <w:rFonts w:hint="eastAsia" w:ascii="宋体" w:hAnsi="宋体"/>
          <w:bCs/>
          <w:color w:val="auto"/>
        </w:rPr>
        <w:t>依法</w:t>
      </w:r>
      <w:r>
        <w:rPr>
          <w:rFonts w:hint="eastAsia" w:ascii="宋体" w:hAnsi="宋体" w:cs="宋体"/>
          <w:color w:val="auto"/>
          <w:kern w:val="0"/>
        </w:rPr>
        <w:t>向有关行政监督部门投诉。</w:t>
      </w:r>
    </w:p>
    <w:p>
      <w:pPr>
        <w:autoSpaceDE w:val="0"/>
        <w:autoSpaceDN w:val="0"/>
        <w:spacing w:line="360" w:lineRule="auto"/>
        <w:ind w:left="525" w:hanging="525" w:hangingChars="250"/>
        <w:contextualSpacing/>
        <w:jc w:val="left"/>
        <w:rPr>
          <w:rFonts w:ascii="宋体" w:hAnsi="宋体"/>
          <w:color w:val="auto"/>
        </w:rPr>
      </w:pPr>
      <w:r>
        <w:rPr>
          <w:rFonts w:hint="eastAsia" w:ascii="宋体" w:hAnsi="宋体" w:cs="宋体"/>
          <w:color w:val="auto"/>
          <w:kern w:val="0"/>
        </w:rPr>
        <w:t>27.6 若供应商提出质疑，经采购人和磋商小组核查，成交候选供应商存在违反有关国家法律法规的行为，或在其响应文件中提供了不符合磋商文件要求的相关资料，采购人有权取消其成交资格，并按评审排名的次序选择下一名供应商为成交候选供应商。</w:t>
      </w:r>
    </w:p>
    <w:p>
      <w:pPr>
        <w:pStyle w:val="4"/>
        <w:spacing w:before="0" w:after="0" w:line="360" w:lineRule="auto"/>
        <w:contextualSpacing/>
        <w:rPr>
          <w:rFonts w:ascii="宋体" w:hAnsi="宋体"/>
          <w:color w:val="auto"/>
          <w:sz w:val="21"/>
          <w:szCs w:val="21"/>
        </w:rPr>
      </w:pPr>
      <w:bookmarkStart w:id="231" w:name="_Toc27064281"/>
      <w:bookmarkStart w:id="232" w:name="_Toc27061970"/>
      <w:bookmarkStart w:id="233" w:name="_Toc17805"/>
      <w:bookmarkStart w:id="234" w:name="_Toc13654"/>
      <w:r>
        <w:rPr>
          <w:rFonts w:hint="eastAsia" w:ascii="宋体" w:hAnsi="宋体"/>
          <w:color w:val="auto"/>
          <w:sz w:val="21"/>
          <w:szCs w:val="21"/>
        </w:rPr>
        <w:t>28、成交结果通知</w:t>
      </w:r>
      <w:bookmarkEnd w:id="231"/>
      <w:bookmarkEnd w:id="232"/>
      <w:bookmarkEnd w:id="233"/>
      <w:bookmarkEnd w:id="234"/>
    </w:p>
    <w:p>
      <w:pPr>
        <w:spacing w:line="360" w:lineRule="auto"/>
        <w:ind w:left="525" w:hanging="525" w:hangingChars="250"/>
        <w:contextualSpacing/>
        <w:jc w:val="left"/>
        <w:rPr>
          <w:rFonts w:ascii="宋体" w:hAnsi="宋体"/>
          <w:color w:val="auto"/>
        </w:rPr>
      </w:pPr>
      <w:r>
        <w:rPr>
          <w:rFonts w:hint="eastAsia" w:ascii="宋体" w:hAnsi="宋体"/>
          <w:color w:val="auto"/>
        </w:rPr>
        <w:t>28.1 采购人或者采购代理机构应当在采购活动结束后及时退还供应商的磋商保证金，但因供应商自身原因导致无法及时退还的除外。未成交供应商的磋商保证金应当在成交通知书发出5个工作日内退还，成交供应商在磋商保证金应当在采购合同签订5个工作日内退还。（本项目不适用）</w:t>
      </w:r>
    </w:p>
    <w:p>
      <w:pPr>
        <w:spacing w:line="360" w:lineRule="auto"/>
        <w:contextualSpacing/>
        <w:rPr>
          <w:rFonts w:ascii="宋体" w:hAnsi="宋体"/>
          <w:color w:val="auto"/>
        </w:rPr>
      </w:pPr>
      <w:r>
        <w:rPr>
          <w:rFonts w:hint="eastAsia" w:ascii="宋体" w:hAnsi="宋体"/>
          <w:color w:val="auto"/>
        </w:rPr>
        <w:t>28.2 《成交结果通知书》将作为签订服务合同的依据。</w:t>
      </w:r>
    </w:p>
    <w:p>
      <w:pPr>
        <w:spacing w:line="360" w:lineRule="auto"/>
        <w:contextualSpacing/>
        <w:rPr>
          <w:rFonts w:ascii="宋体" w:hAnsi="宋体"/>
          <w:color w:val="auto"/>
        </w:rPr>
      </w:pPr>
      <w:r>
        <w:rPr>
          <w:rFonts w:hint="eastAsia" w:ascii="宋体" w:hAnsi="宋体"/>
          <w:color w:val="auto"/>
        </w:rPr>
        <w:t>28.</w:t>
      </w:r>
      <w:r>
        <w:rPr>
          <w:rFonts w:ascii="宋体" w:hAnsi="宋体"/>
          <w:color w:val="auto"/>
        </w:rPr>
        <w:t>3</w:t>
      </w:r>
      <w:r>
        <w:rPr>
          <w:rFonts w:hint="eastAsia" w:ascii="宋体" w:hAnsi="宋体"/>
          <w:color w:val="auto"/>
        </w:rPr>
        <w:t xml:space="preserve"> 《成交结果通知书》发出后，如果成交供应商不能按响应文件中承诺的条件履行签约</w:t>
      </w:r>
    </w:p>
    <w:p>
      <w:pPr>
        <w:spacing w:line="360" w:lineRule="auto"/>
        <w:ind w:firstLine="525" w:firstLineChars="250"/>
        <w:contextualSpacing/>
        <w:rPr>
          <w:rFonts w:ascii="宋体" w:hAnsi="宋体"/>
          <w:color w:val="auto"/>
        </w:rPr>
      </w:pPr>
      <w:r>
        <w:rPr>
          <w:rFonts w:hint="eastAsia" w:ascii="宋体" w:hAnsi="宋体"/>
          <w:color w:val="auto"/>
        </w:rPr>
        <w:t>行为，采购人有权选择得分排序次之的供应商作为新的合同授予人，依次类推。</w:t>
      </w:r>
    </w:p>
    <w:p>
      <w:pPr>
        <w:pStyle w:val="4"/>
        <w:spacing w:before="0" w:after="0" w:line="360" w:lineRule="auto"/>
        <w:contextualSpacing/>
        <w:rPr>
          <w:rFonts w:ascii="宋体" w:hAnsi="宋体"/>
          <w:color w:val="auto"/>
          <w:sz w:val="21"/>
          <w:szCs w:val="21"/>
        </w:rPr>
      </w:pPr>
      <w:bookmarkStart w:id="235" w:name="_Toc27061971"/>
      <w:bookmarkStart w:id="236" w:name="_Toc27064282"/>
      <w:bookmarkStart w:id="237" w:name="_Toc1308"/>
      <w:bookmarkStart w:id="238" w:name="_Toc11539"/>
      <w:r>
        <w:rPr>
          <w:rFonts w:hint="eastAsia" w:ascii="宋体" w:hAnsi="宋体"/>
          <w:color w:val="auto"/>
          <w:sz w:val="21"/>
          <w:szCs w:val="21"/>
        </w:rPr>
        <w:t>29、签订采购合同</w:t>
      </w:r>
      <w:bookmarkEnd w:id="235"/>
      <w:bookmarkEnd w:id="236"/>
      <w:bookmarkEnd w:id="237"/>
      <w:bookmarkEnd w:id="238"/>
    </w:p>
    <w:p>
      <w:pPr>
        <w:spacing w:line="360" w:lineRule="auto"/>
        <w:contextualSpacing/>
        <w:rPr>
          <w:rFonts w:ascii="宋体" w:hAnsi="宋体"/>
          <w:color w:val="auto"/>
        </w:rPr>
      </w:pPr>
      <w:r>
        <w:rPr>
          <w:rFonts w:hint="eastAsia" w:ascii="宋体" w:hAnsi="宋体"/>
          <w:color w:val="auto"/>
        </w:rPr>
        <w:t>29.1 采购人与成交供应商应当在成交通知书发出之日起30日内，按照磋商文件确定的合同文本以及采购标的、规格型号、采购金额、采购数量、技术和服务要求等事项签订政府采购合同。。</w:t>
      </w:r>
    </w:p>
    <w:p>
      <w:pPr>
        <w:spacing w:line="360" w:lineRule="auto"/>
        <w:contextualSpacing/>
        <w:rPr>
          <w:rFonts w:ascii="宋体" w:hAnsi="宋体"/>
          <w:bCs/>
          <w:color w:val="auto"/>
        </w:rPr>
      </w:pPr>
      <w:r>
        <w:rPr>
          <w:rFonts w:hint="eastAsia" w:ascii="宋体" w:hAnsi="宋体"/>
          <w:color w:val="auto"/>
        </w:rPr>
        <w:t>29.2 《磋商文件》成交候选供应商的响应文件等，均为有法律约束力的</w:t>
      </w:r>
      <w:r>
        <w:rPr>
          <w:rFonts w:hint="eastAsia" w:ascii="宋体" w:hAnsi="宋体"/>
          <w:bCs/>
          <w:color w:val="auto"/>
        </w:rPr>
        <w:t>采购合同的组成部</w:t>
      </w:r>
    </w:p>
    <w:p>
      <w:pPr>
        <w:spacing w:line="360" w:lineRule="auto"/>
        <w:ind w:firstLine="525" w:firstLineChars="250"/>
        <w:contextualSpacing/>
        <w:rPr>
          <w:rFonts w:ascii="宋体" w:hAnsi="宋体"/>
          <w:color w:val="auto"/>
        </w:rPr>
      </w:pPr>
      <w:r>
        <w:rPr>
          <w:rFonts w:hint="eastAsia" w:ascii="宋体" w:hAnsi="宋体"/>
          <w:bCs/>
          <w:color w:val="auto"/>
        </w:rPr>
        <w:t>分</w:t>
      </w:r>
      <w:r>
        <w:rPr>
          <w:rFonts w:hint="eastAsia" w:ascii="宋体" w:hAnsi="宋体"/>
          <w:color w:val="auto"/>
        </w:rPr>
        <w:t>。</w:t>
      </w:r>
    </w:p>
    <w:p>
      <w:pPr>
        <w:pStyle w:val="4"/>
        <w:spacing w:before="0" w:after="0" w:line="360" w:lineRule="auto"/>
        <w:contextualSpacing/>
        <w:rPr>
          <w:rFonts w:ascii="宋体" w:hAnsi="宋体"/>
          <w:color w:val="auto"/>
          <w:sz w:val="21"/>
          <w:szCs w:val="21"/>
        </w:rPr>
      </w:pPr>
      <w:bookmarkStart w:id="239" w:name="_Toc27061972"/>
      <w:bookmarkStart w:id="240" w:name="_Toc27064283"/>
      <w:bookmarkStart w:id="241" w:name="_Toc19706"/>
      <w:bookmarkStart w:id="242" w:name="_Toc748"/>
      <w:r>
        <w:rPr>
          <w:rFonts w:hint="eastAsia" w:ascii="宋体" w:hAnsi="宋体"/>
          <w:color w:val="auto"/>
          <w:sz w:val="21"/>
          <w:szCs w:val="21"/>
        </w:rPr>
        <w:t>30、成交服务费</w:t>
      </w:r>
      <w:bookmarkEnd w:id="239"/>
      <w:bookmarkEnd w:id="240"/>
      <w:bookmarkEnd w:id="241"/>
      <w:bookmarkEnd w:id="242"/>
    </w:p>
    <w:p>
      <w:pPr>
        <w:spacing w:line="360" w:lineRule="auto"/>
        <w:contextualSpacing/>
        <w:rPr>
          <w:rFonts w:ascii="宋体" w:hAnsi="宋体"/>
          <w:color w:val="auto"/>
        </w:rPr>
      </w:pPr>
      <w:r>
        <w:rPr>
          <w:rFonts w:hint="eastAsia" w:ascii="宋体" w:hAnsi="宋体"/>
          <w:color w:val="auto"/>
        </w:rPr>
        <w:t>30.1成交供应商在领取成交通知书的同时缴纳成交服务费，由成交供应商向采购代理机构支付。</w:t>
      </w:r>
    </w:p>
    <w:p>
      <w:pPr>
        <w:pStyle w:val="19"/>
        <w:spacing w:line="360" w:lineRule="auto"/>
        <w:ind w:left="424" w:hanging="424" w:hangingChars="202"/>
        <w:rPr>
          <w:rFonts w:hAnsi="宋体"/>
          <w:color w:val="auto"/>
        </w:rPr>
      </w:pPr>
      <w:r>
        <w:rPr>
          <w:rFonts w:hint="eastAsia" w:hAnsi="宋体"/>
          <w:color w:val="auto"/>
        </w:rPr>
        <w:t>30.2成交服务费参照国家计委印发的计价格[2002]1980号关于《招标代理机构服务费管理暂行办法》和[2003]857号文关于《招标代理服务收费有关问题的通知》中规定的方法计算。</w:t>
      </w:r>
    </w:p>
    <w:p>
      <w:pPr>
        <w:tabs>
          <w:tab w:val="left" w:pos="7665"/>
        </w:tabs>
        <w:spacing w:line="360" w:lineRule="auto"/>
        <w:ind w:firstLine="420" w:firstLineChars="200"/>
        <w:rPr>
          <w:rFonts w:ascii="宋体" w:hAnsi="宋体" w:cs="宋体"/>
          <w:color w:val="auto"/>
        </w:rPr>
      </w:pPr>
    </w:p>
    <w:p>
      <w:pPr>
        <w:spacing w:line="360" w:lineRule="auto"/>
        <w:rPr>
          <w:rFonts w:ascii="宋体" w:hAnsi="宋体"/>
          <w:color w:val="auto"/>
          <w:sz w:val="24"/>
          <w:szCs w:val="24"/>
        </w:rPr>
      </w:pPr>
    </w:p>
    <w:bookmarkEnd w:id="77"/>
    <w:bookmarkEnd w:id="78"/>
    <w:bookmarkEnd w:id="79"/>
    <w:p>
      <w:pPr>
        <w:rPr>
          <w:rFonts w:ascii="宋体" w:hAnsi="宋体" w:cs="宋体"/>
          <w:color w:val="auto"/>
          <w:sz w:val="36"/>
          <w:szCs w:val="36"/>
        </w:rPr>
      </w:pPr>
      <w:bookmarkStart w:id="243" w:name="_Toc476065833"/>
      <w:bookmarkStart w:id="244" w:name="_Toc217446092"/>
      <w:r>
        <w:rPr>
          <w:rFonts w:hint="eastAsia" w:ascii="宋体" w:hAnsi="宋体" w:cs="宋体"/>
          <w:color w:val="auto"/>
          <w:sz w:val="36"/>
          <w:szCs w:val="36"/>
        </w:rPr>
        <w:br w:type="page"/>
      </w:r>
    </w:p>
    <w:p>
      <w:pPr>
        <w:numPr>
          <w:ilvl w:val="-1"/>
          <w:numId w:val="0"/>
        </w:numPr>
        <w:spacing w:line="360" w:lineRule="auto"/>
        <w:jc w:val="center"/>
        <w:outlineLvl w:val="0"/>
        <w:rPr>
          <w:rFonts w:hint="eastAsia" w:ascii="ˎ̥" w:hAnsi="ˎ̥" w:cs="宋体"/>
          <w:b/>
          <w:bCs/>
          <w:color w:val="auto"/>
          <w:kern w:val="0"/>
          <w:sz w:val="32"/>
          <w:szCs w:val="24"/>
        </w:rPr>
      </w:pPr>
      <w:bookmarkStart w:id="245" w:name="_Toc6892"/>
      <w:bookmarkStart w:id="246" w:name="_Toc32100"/>
      <w:bookmarkStart w:id="247" w:name="_Toc22041"/>
      <w:bookmarkStart w:id="248" w:name="_Toc14981"/>
      <w:r>
        <w:rPr>
          <w:rFonts w:hint="eastAsia" w:ascii="ˎ̥" w:hAnsi="ˎ̥" w:cs="宋体"/>
          <w:b/>
          <w:bCs/>
          <w:color w:val="auto"/>
          <w:kern w:val="0"/>
          <w:sz w:val="32"/>
          <w:szCs w:val="24"/>
          <w:lang w:val="en-US" w:eastAsia="zh-CN"/>
        </w:rPr>
        <w:t xml:space="preserve">第三章 </w:t>
      </w:r>
      <w:r>
        <w:rPr>
          <w:rFonts w:hint="eastAsia" w:ascii="ˎ̥" w:hAnsi="ˎ̥" w:cs="宋体"/>
          <w:b/>
          <w:bCs/>
          <w:color w:val="auto"/>
          <w:kern w:val="0"/>
          <w:sz w:val="32"/>
          <w:szCs w:val="24"/>
        </w:rPr>
        <w:t>服务合同</w:t>
      </w:r>
      <w:bookmarkEnd w:id="245"/>
      <w:bookmarkEnd w:id="246"/>
      <w:bookmarkEnd w:id="247"/>
      <w:bookmarkEnd w:id="248"/>
    </w:p>
    <w:p>
      <w:pPr>
        <w:rPr>
          <w:rFonts w:ascii="宋体" w:hAnsi="宋体" w:cs="宋体"/>
          <w:color w:val="auto"/>
          <w:sz w:val="36"/>
          <w:szCs w:val="36"/>
        </w:rPr>
      </w:pPr>
    </w:p>
    <w:p>
      <w:pPr>
        <w:rPr>
          <w:rFonts w:ascii="宋体" w:hAnsi="宋体" w:cs="宋体"/>
          <w:color w:val="auto"/>
          <w:sz w:val="36"/>
          <w:szCs w:val="36"/>
        </w:rPr>
      </w:pPr>
    </w:p>
    <w:p>
      <w:pPr>
        <w:spacing w:after="156" w:afterLines="50" w:line="360" w:lineRule="auto"/>
        <w:ind w:left="-178" w:leftChars="-85"/>
        <w:jc w:val="center"/>
        <w:rPr>
          <w:rFonts w:ascii="宋体" w:hAnsi="宋体" w:cs="宋体"/>
          <w:color w:val="auto"/>
          <w:spacing w:val="84"/>
          <w:sz w:val="24"/>
          <w:szCs w:val="24"/>
          <w:highlight w:val="yellow"/>
        </w:rPr>
      </w:pPr>
      <w:r>
        <w:rPr>
          <w:rFonts w:hint="eastAsia" w:ascii="宋体" w:hAnsi="宋体" w:cs="宋体"/>
          <w:color w:val="auto"/>
          <w:spacing w:val="84"/>
          <w:sz w:val="24"/>
          <w:szCs w:val="24"/>
        </w:rPr>
        <w:t>市教委立项项目-北京教育督导重点工作平面及媒体宣传报道项目服务合同</w:t>
      </w:r>
    </w:p>
    <w:p>
      <w:pPr>
        <w:spacing w:after="156" w:afterLines="50" w:line="360" w:lineRule="auto"/>
        <w:ind w:left="-178" w:leftChars="-85"/>
        <w:rPr>
          <w:rFonts w:ascii="宋体" w:hAnsi="宋体" w:cs="宋体"/>
          <w:color w:val="auto"/>
          <w:sz w:val="24"/>
          <w:szCs w:val="24"/>
        </w:rPr>
      </w:pPr>
    </w:p>
    <w:p>
      <w:pPr>
        <w:spacing w:after="156" w:afterLines="50" w:line="360" w:lineRule="auto"/>
        <w:ind w:left="-178" w:leftChars="-85"/>
        <w:rPr>
          <w:rFonts w:ascii="宋体" w:hAnsi="宋体" w:cs="宋体"/>
          <w:color w:val="auto"/>
          <w:sz w:val="24"/>
          <w:szCs w:val="24"/>
        </w:rPr>
      </w:pPr>
    </w:p>
    <w:p>
      <w:pPr>
        <w:spacing w:after="156" w:afterLines="50" w:line="360" w:lineRule="auto"/>
        <w:rPr>
          <w:rFonts w:ascii="宋体" w:hAnsi="宋体" w:cs="宋体"/>
          <w:color w:val="auto"/>
          <w:sz w:val="24"/>
          <w:szCs w:val="24"/>
        </w:rPr>
      </w:pPr>
    </w:p>
    <w:p>
      <w:pPr>
        <w:snapToGrid w:val="0"/>
        <w:spacing w:after="156" w:afterLines="50" w:line="360" w:lineRule="auto"/>
        <w:ind w:firstLine="638" w:firstLineChars="265"/>
        <w:rPr>
          <w:rFonts w:ascii="宋体" w:hAnsi="宋体" w:cs="宋体"/>
          <w:b/>
          <w:color w:val="auto"/>
          <w:sz w:val="24"/>
          <w:szCs w:val="24"/>
        </w:rPr>
      </w:pPr>
      <w:r>
        <w:rPr>
          <w:rFonts w:hint="eastAsia" w:ascii="宋体" w:hAnsi="宋体" w:cs="宋体"/>
          <w:b/>
          <w:color w:val="auto"/>
          <w:sz w:val="24"/>
          <w:szCs w:val="24"/>
        </w:rPr>
        <w:t>合同编号:</w:t>
      </w:r>
    </w:p>
    <w:p>
      <w:pPr>
        <w:snapToGrid w:val="0"/>
        <w:spacing w:after="156" w:afterLines="50" w:line="360" w:lineRule="auto"/>
        <w:ind w:firstLine="638" w:firstLineChars="265"/>
        <w:rPr>
          <w:rFonts w:ascii="宋体" w:hAnsi="宋体" w:cs="宋体"/>
          <w:b/>
          <w:color w:val="auto"/>
          <w:sz w:val="24"/>
          <w:szCs w:val="24"/>
        </w:rPr>
      </w:pPr>
      <w:r>
        <w:rPr>
          <w:rFonts w:hint="eastAsia" w:ascii="宋体" w:hAnsi="宋体" w:cs="宋体"/>
          <w:b/>
          <w:color w:val="auto"/>
          <w:sz w:val="24"/>
          <w:szCs w:val="24"/>
        </w:rPr>
        <w:t xml:space="preserve">   甲方（委托方）:</w:t>
      </w:r>
    </w:p>
    <w:p>
      <w:pPr>
        <w:snapToGrid w:val="0"/>
        <w:spacing w:after="156" w:afterLines="50" w:line="360" w:lineRule="auto"/>
        <w:ind w:firstLine="638" w:firstLineChars="265"/>
        <w:rPr>
          <w:rFonts w:ascii="宋体" w:hAnsi="宋体" w:cs="宋体"/>
          <w:b/>
          <w:color w:val="auto"/>
          <w:sz w:val="24"/>
          <w:szCs w:val="24"/>
        </w:rPr>
      </w:pPr>
      <w:r>
        <w:rPr>
          <w:rFonts w:hint="eastAsia" w:ascii="宋体" w:hAnsi="宋体" w:cs="宋体"/>
          <w:b/>
          <w:color w:val="auto"/>
          <w:sz w:val="24"/>
          <w:szCs w:val="24"/>
        </w:rPr>
        <w:t xml:space="preserve">   乙方（受托方）:</w:t>
      </w:r>
    </w:p>
    <w:p>
      <w:pPr>
        <w:snapToGrid w:val="0"/>
        <w:spacing w:after="156" w:afterLines="50" w:line="360" w:lineRule="auto"/>
        <w:ind w:firstLine="638" w:firstLineChars="265"/>
        <w:rPr>
          <w:rFonts w:ascii="宋体" w:hAnsi="宋体" w:cs="宋体"/>
          <w:b/>
          <w:color w:val="auto"/>
          <w:sz w:val="24"/>
          <w:szCs w:val="24"/>
        </w:rPr>
      </w:pPr>
      <w:r>
        <w:rPr>
          <w:rFonts w:hint="eastAsia" w:ascii="宋体" w:hAnsi="宋体" w:cs="宋体"/>
          <w:b/>
          <w:color w:val="auto"/>
          <w:sz w:val="24"/>
          <w:szCs w:val="24"/>
        </w:rPr>
        <w:t xml:space="preserve">   签订日期</w:t>
      </w:r>
      <w:r>
        <w:rPr>
          <w:rStyle w:val="49"/>
          <w:rFonts w:hint="eastAsia" w:ascii="宋体" w:hAnsi="宋体" w:cs="宋体"/>
          <w:b/>
          <w:color w:val="auto"/>
        </w:rPr>
        <w:footnoteReference w:id="0"/>
      </w:r>
      <w:r>
        <w:rPr>
          <w:rFonts w:hint="eastAsia" w:ascii="宋体" w:hAnsi="宋体" w:cs="宋体"/>
          <w:b/>
          <w:color w:val="auto"/>
          <w:sz w:val="24"/>
          <w:szCs w:val="24"/>
        </w:rPr>
        <w:t>:</w:t>
      </w:r>
    </w:p>
    <w:p>
      <w:pPr>
        <w:snapToGrid w:val="0"/>
        <w:spacing w:after="156" w:afterLines="50" w:line="360" w:lineRule="auto"/>
        <w:ind w:firstLine="638" w:firstLineChars="265"/>
        <w:rPr>
          <w:rFonts w:ascii="宋体" w:hAnsi="宋体" w:cs="宋体"/>
          <w:b/>
          <w:color w:val="auto"/>
          <w:sz w:val="24"/>
          <w:szCs w:val="24"/>
        </w:rPr>
      </w:pPr>
      <w:r>
        <w:rPr>
          <w:rFonts w:hint="eastAsia" w:ascii="宋体" w:hAnsi="宋体" w:cs="宋体"/>
          <w:b/>
          <w:color w:val="auto"/>
          <w:sz w:val="24"/>
          <w:szCs w:val="24"/>
        </w:rPr>
        <w:t xml:space="preserve">   签订地点：</w:t>
      </w:r>
    </w:p>
    <w:p>
      <w:pPr>
        <w:spacing w:after="156" w:afterLines="50" w:line="360" w:lineRule="auto"/>
        <w:rPr>
          <w:rFonts w:ascii="宋体" w:hAnsi="宋体" w:cs="宋体"/>
          <w:color w:val="auto"/>
          <w:sz w:val="24"/>
          <w:szCs w:val="24"/>
        </w:rPr>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pPr>
    </w:p>
    <w:p>
      <w:pPr>
        <w:snapToGrid w:val="0"/>
        <w:ind w:firstLine="482" w:firstLineChars="200"/>
        <w:jc w:val="center"/>
        <w:rPr>
          <w:rFonts w:ascii="宋体" w:hAnsi="宋体" w:cs="宋体"/>
          <w:b/>
          <w:color w:val="auto"/>
          <w:kern w:val="0"/>
          <w:sz w:val="24"/>
          <w:szCs w:val="24"/>
          <w:lang w:val="zh-CN"/>
        </w:rPr>
      </w:pPr>
      <w:r>
        <w:rPr>
          <w:rFonts w:hint="eastAsia" w:ascii="宋体" w:hAnsi="宋体" w:cs="宋体"/>
          <w:b/>
          <w:color w:val="auto"/>
          <w:kern w:val="0"/>
          <w:sz w:val="24"/>
          <w:szCs w:val="24"/>
          <w:lang w:val="zh-CN"/>
        </w:rPr>
        <w:t>使用说明</w:t>
      </w:r>
    </w:p>
    <w:p>
      <w:pPr>
        <w:snapToGrid w:val="0"/>
        <w:ind w:firstLine="482" w:firstLineChars="200"/>
        <w:jc w:val="center"/>
        <w:rPr>
          <w:rFonts w:ascii="宋体" w:hAnsi="宋体" w:cs="宋体"/>
          <w:b/>
          <w:color w:val="auto"/>
          <w:kern w:val="0"/>
          <w:sz w:val="24"/>
          <w:szCs w:val="24"/>
          <w:lang w:val="zh-CN"/>
        </w:rPr>
      </w:pPr>
    </w:p>
    <w:p>
      <w:pPr>
        <w:numPr>
          <w:ilvl w:val="0"/>
          <w:numId w:val="2"/>
        </w:numPr>
        <w:snapToGrid w:val="0"/>
        <w:spacing w:line="360" w:lineRule="auto"/>
        <w:rPr>
          <w:rFonts w:ascii="宋体" w:hAnsi="宋体" w:cs="宋体"/>
          <w:color w:val="auto"/>
          <w:szCs w:val="24"/>
        </w:rPr>
      </w:pPr>
      <w:r>
        <w:rPr>
          <w:rFonts w:hint="eastAsia" w:ascii="宋体" w:hAnsi="宋体" w:cs="宋体"/>
          <w:color w:val="auto"/>
          <w:szCs w:val="24"/>
        </w:rPr>
        <w:t>本统一合同文本适用于各单位项目交流活动组织服务合同。</w:t>
      </w:r>
    </w:p>
    <w:p>
      <w:pPr>
        <w:numPr>
          <w:ilvl w:val="0"/>
          <w:numId w:val="2"/>
        </w:numPr>
        <w:snapToGrid w:val="0"/>
        <w:spacing w:line="360" w:lineRule="auto"/>
        <w:rPr>
          <w:rFonts w:ascii="宋体" w:hAnsi="宋体" w:cs="宋体"/>
          <w:color w:val="auto"/>
          <w:kern w:val="0"/>
          <w:szCs w:val="24"/>
          <w:lang w:val="zh-CN"/>
        </w:rPr>
      </w:pPr>
      <w:r>
        <w:rPr>
          <w:rFonts w:hint="eastAsia" w:ascii="宋体" w:hAnsi="宋体" w:cs="宋体"/>
          <w:color w:val="auto"/>
          <w:szCs w:val="24"/>
        </w:rPr>
        <w:t>对本统一合同文本中需当事人填写之处，如当事人约定无需填写的</w:t>
      </w:r>
      <w:r>
        <w:rPr>
          <w:rFonts w:hint="eastAsia" w:ascii="宋体" w:hAnsi="宋体" w:cs="宋体"/>
          <w:color w:val="auto"/>
          <w:kern w:val="0"/>
          <w:szCs w:val="24"/>
          <w:lang w:val="zh-CN"/>
        </w:rPr>
        <w:t>，则应注明“无”或划“/”。</w:t>
      </w:r>
    </w:p>
    <w:p>
      <w:pPr>
        <w:numPr>
          <w:ilvl w:val="0"/>
          <w:numId w:val="2"/>
        </w:numPr>
        <w:autoSpaceDE w:val="0"/>
        <w:autoSpaceDN w:val="0"/>
        <w:adjustRightInd w:val="0"/>
        <w:snapToGrid w:val="0"/>
        <w:spacing w:line="360" w:lineRule="auto"/>
        <w:rPr>
          <w:rFonts w:ascii="宋体" w:hAnsi="宋体" w:cs="宋体"/>
          <w:color w:val="auto"/>
          <w:kern w:val="0"/>
          <w:szCs w:val="24"/>
          <w:lang w:val="zh-CN"/>
        </w:rPr>
      </w:pPr>
      <w:r>
        <w:rPr>
          <w:rFonts w:hint="eastAsia" w:ascii="宋体" w:hAnsi="宋体" w:cs="宋体"/>
          <w:color w:val="auto"/>
          <w:kern w:val="0"/>
          <w:szCs w:val="24"/>
          <w:lang w:val="zh-CN"/>
        </w:rPr>
        <w:t>对本统一合同文本的任何修改或补充，当事人均应在“特别约定”条款中进行约定，除此之外不得直接对合同文本进行改动。</w:t>
      </w:r>
    </w:p>
    <w:p>
      <w:pPr>
        <w:numPr>
          <w:ilvl w:val="0"/>
          <w:numId w:val="2"/>
        </w:numPr>
        <w:snapToGrid w:val="0"/>
        <w:spacing w:line="360" w:lineRule="auto"/>
        <w:rPr>
          <w:rFonts w:ascii="宋体" w:hAnsi="宋体" w:cs="宋体"/>
          <w:color w:val="auto"/>
          <w:szCs w:val="24"/>
        </w:rPr>
      </w:pPr>
      <w:r>
        <w:rPr>
          <w:rFonts w:hint="eastAsia" w:ascii="宋体" w:hAnsi="宋体" w:cs="宋体"/>
          <w:color w:val="auto"/>
          <w:szCs w:val="24"/>
        </w:rPr>
        <w:t>有关本统一合同文本的其他使用说明见合同文本脚注。</w:t>
      </w:r>
    </w:p>
    <w:p>
      <w:pPr>
        <w:numPr>
          <w:ilvl w:val="0"/>
          <w:numId w:val="2"/>
        </w:numPr>
        <w:snapToGrid w:val="0"/>
        <w:spacing w:line="360" w:lineRule="auto"/>
        <w:rPr>
          <w:rFonts w:ascii="宋体" w:hAnsi="宋体" w:cs="宋体"/>
          <w:color w:val="auto"/>
          <w:szCs w:val="24"/>
        </w:rPr>
        <w:sectPr>
          <w:footerReference r:id="rId7" w:type="default"/>
          <w:pgSz w:w="11906" w:h="16838"/>
          <w:pgMar w:top="1440" w:right="1800" w:bottom="1440" w:left="1800" w:header="851" w:footer="992" w:gutter="0"/>
          <w:cols w:space="720" w:num="1"/>
          <w:docGrid w:type="lines" w:linePitch="312" w:charSpace="0"/>
        </w:sectPr>
      </w:pPr>
      <w:r>
        <w:rPr>
          <w:rFonts w:hint="eastAsia" w:ascii="宋体" w:hAnsi="宋体" w:cs="宋体"/>
          <w:color w:val="auto"/>
          <w:szCs w:val="24"/>
        </w:rPr>
        <w:t>单位合同承办人员应按照本使用说明起草合同，在合同开始内部审核或提交对方前应删除本使用说明及合同文本脚注。</w:t>
      </w:r>
    </w:p>
    <w:p>
      <w:pPr>
        <w:ind w:firstLine="560" w:firstLineChars="200"/>
        <w:rPr>
          <w:rFonts w:ascii="仿宋" w:hAnsi="仿宋" w:eastAsia="仿宋" w:cs="仿宋"/>
          <w:color w:val="auto"/>
          <w:sz w:val="28"/>
          <w:szCs w:val="28"/>
          <w:u w:val="single"/>
        </w:rPr>
      </w:pPr>
      <w:r>
        <w:rPr>
          <w:rFonts w:hint="eastAsia" w:ascii="仿宋" w:hAnsi="仿宋" w:eastAsia="仿宋" w:cs="仿宋"/>
          <w:color w:val="auto"/>
          <w:sz w:val="28"/>
          <w:szCs w:val="28"/>
          <w:lang w:bidi="ar"/>
        </w:rPr>
        <w:t>市教委立项项目-北京教育督导重点工作平面及媒体宣传报道项目</w:t>
      </w:r>
    </w:p>
    <w:p>
      <w:pPr>
        <w:spacing w:after="156" w:afterLines="50" w:line="360" w:lineRule="auto"/>
        <w:jc w:val="center"/>
        <w:rPr>
          <w:rFonts w:ascii="宋体" w:hAnsi="宋体" w:cs="宋体"/>
          <w:color w:val="auto"/>
          <w:spacing w:val="100"/>
          <w:sz w:val="24"/>
          <w:szCs w:val="24"/>
        </w:rPr>
      </w:pPr>
      <w:r>
        <w:rPr>
          <w:rFonts w:hint="eastAsia" w:ascii="宋体" w:hAnsi="宋体" w:cs="宋体"/>
          <w:color w:val="auto"/>
          <w:spacing w:val="100"/>
          <w:sz w:val="24"/>
          <w:szCs w:val="24"/>
        </w:rPr>
        <w:t>服务合同</w:t>
      </w:r>
    </w:p>
    <w:p>
      <w:pPr>
        <w:snapToGrid w:val="0"/>
        <w:spacing w:line="360" w:lineRule="auto"/>
        <w:rPr>
          <w:rFonts w:ascii="宋体" w:hAnsi="宋体" w:cs="宋体"/>
          <w:color w:val="auto"/>
        </w:rPr>
      </w:pPr>
    </w:p>
    <w:p>
      <w:pPr>
        <w:snapToGrid w:val="0"/>
        <w:spacing w:line="360" w:lineRule="auto"/>
        <w:rPr>
          <w:rFonts w:ascii="宋体" w:hAnsi="宋体" w:cs="宋体"/>
          <w:color w:val="auto"/>
        </w:rPr>
      </w:pPr>
      <w:r>
        <w:rPr>
          <w:rFonts w:hint="eastAsia" w:ascii="宋体" w:hAnsi="宋体" w:cs="宋体"/>
          <w:color w:val="auto"/>
        </w:rPr>
        <w:t xml:space="preserve">甲方（委托方）：                          </w:t>
      </w:r>
    </w:p>
    <w:p>
      <w:pPr>
        <w:snapToGrid w:val="0"/>
        <w:spacing w:line="360" w:lineRule="auto"/>
        <w:rPr>
          <w:rFonts w:ascii="宋体" w:hAnsi="宋体" w:cs="宋体"/>
          <w:color w:val="auto"/>
        </w:rPr>
      </w:pPr>
      <w:r>
        <w:rPr>
          <w:rFonts w:hint="eastAsia" w:ascii="宋体" w:hAnsi="宋体" w:cs="宋体"/>
          <w:color w:val="auto"/>
        </w:rPr>
        <w:t xml:space="preserve">乙方（受托方）：                          </w:t>
      </w:r>
    </w:p>
    <w:p>
      <w:pPr>
        <w:snapToGrid w:val="0"/>
        <w:spacing w:line="360" w:lineRule="auto"/>
        <w:ind w:firstLine="420" w:firstLineChars="200"/>
        <w:rPr>
          <w:rFonts w:ascii="宋体" w:hAnsi="宋体" w:cs="宋体"/>
          <w:color w:val="auto"/>
        </w:rPr>
      </w:pPr>
      <w:r>
        <w:rPr>
          <w:rFonts w:hint="eastAsia" w:ascii="宋体" w:hAnsi="宋体" w:cs="宋体"/>
          <w:color w:val="auto"/>
        </w:rPr>
        <w:t>鉴于甲方有意委托乙方</w:t>
      </w:r>
      <w:r>
        <w:rPr>
          <w:rFonts w:hint="eastAsia" w:ascii="宋体" w:hAnsi="宋体" w:cs="宋体"/>
          <w:bCs/>
          <w:color w:val="auto"/>
        </w:rPr>
        <w:t>承担市教委立项项目-北京教育督导重点工作平面及媒体宣传报道项目（项目名称）项目</w:t>
      </w:r>
      <w:r>
        <w:rPr>
          <w:rFonts w:hint="eastAsia" w:ascii="宋体" w:hAnsi="宋体" w:cs="宋体"/>
          <w:color w:val="auto"/>
        </w:rPr>
        <w:t>，且乙方同意接受委托，根据《中华人民共和国合同法》、《中华人民共和国广告法》及其他有关法律、法规和规章的规定，双方经协商一致，订立本合同。</w:t>
      </w:r>
    </w:p>
    <w:p>
      <w:pPr>
        <w:outlineLvl w:val="9"/>
        <w:rPr>
          <w:rFonts w:ascii="宋体" w:hAnsi="宋体" w:cs="宋体"/>
          <w:color w:val="auto"/>
          <w:sz w:val="21"/>
          <w:szCs w:val="21"/>
        </w:rPr>
      </w:pPr>
      <w:bookmarkStart w:id="249" w:name="_Toc4528"/>
      <w:r>
        <w:rPr>
          <w:rFonts w:hint="eastAsia" w:ascii="宋体" w:hAnsi="宋体" w:cs="宋体"/>
          <w:color w:val="auto"/>
          <w:sz w:val="21"/>
          <w:szCs w:val="21"/>
        </w:rPr>
        <w:t>第1条  项目内容及要求</w:t>
      </w:r>
      <w:bookmarkEnd w:id="249"/>
    </w:p>
    <w:p>
      <w:pPr>
        <w:numPr>
          <w:ilvl w:val="1"/>
          <w:numId w:val="3"/>
        </w:numPr>
        <w:snapToGrid w:val="0"/>
        <w:spacing w:line="360" w:lineRule="auto"/>
        <w:rPr>
          <w:rFonts w:ascii="宋体" w:hAnsi="宋体" w:cs="宋体"/>
          <w:color w:val="auto"/>
        </w:rPr>
      </w:pPr>
      <w:r>
        <w:rPr>
          <w:rFonts w:hint="eastAsia" w:ascii="宋体" w:hAnsi="宋体" w:cs="宋体"/>
          <w:color w:val="auto"/>
        </w:rPr>
        <w:t>乙方所需制作的《市教委立项项目-北京教育督导重点工作平面及媒体宣传报道项目》的具体内容如下：</w:t>
      </w:r>
    </w:p>
    <w:p>
      <w:pPr>
        <w:snapToGrid w:val="0"/>
        <w:spacing w:line="360" w:lineRule="auto"/>
        <w:ind w:left="420"/>
        <w:rPr>
          <w:rFonts w:ascii="宋体" w:hAnsi="宋体" w:cs="宋体"/>
          <w:bCs/>
          <w:color w:val="auto"/>
        </w:rPr>
      </w:pPr>
      <w:r>
        <w:rPr>
          <w:rFonts w:hint="eastAsia" w:ascii="宋体" w:hAnsi="宋体" w:cs="宋体"/>
          <w:bCs/>
          <w:color w:val="auto"/>
        </w:rPr>
        <w:t>论文评选与推介活动</w:t>
      </w:r>
    </w:p>
    <w:p>
      <w:pPr>
        <w:snapToGrid w:val="0"/>
        <w:spacing w:line="360" w:lineRule="auto"/>
        <w:ind w:left="420"/>
        <w:rPr>
          <w:rFonts w:ascii="宋体" w:hAnsi="宋体" w:cs="宋体"/>
          <w:bCs/>
          <w:color w:val="auto"/>
        </w:rPr>
      </w:pPr>
      <w:r>
        <w:rPr>
          <w:rFonts w:hint="eastAsia" w:ascii="宋体" w:hAnsi="宋体" w:cs="宋体"/>
          <w:bCs/>
          <w:color w:val="auto"/>
        </w:rPr>
        <w:t>督学之星评选展示</w:t>
      </w:r>
    </w:p>
    <w:p>
      <w:pPr>
        <w:outlineLvl w:val="9"/>
        <w:rPr>
          <w:rFonts w:ascii="宋体" w:hAnsi="宋体" w:cs="宋体"/>
          <w:color w:val="auto"/>
          <w:sz w:val="21"/>
          <w:szCs w:val="21"/>
        </w:rPr>
      </w:pPr>
      <w:bookmarkStart w:id="250" w:name="_Toc7890"/>
      <w:r>
        <w:rPr>
          <w:rFonts w:hint="eastAsia" w:ascii="宋体" w:hAnsi="宋体" w:cs="宋体"/>
          <w:color w:val="auto"/>
          <w:sz w:val="21"/>
          <w:szCs w:val="21"/>
        </w:rPr>
        <w:t>第2条  制作期限</w:t>
      </w:r>
      <w:bookmarkEnd w:id="250"/>
    </w:p>
    <w:p>
      <w:pPr>
        <w:snapToGrid w:val="0"/>
        <w:spacing w:line="360" w:lineRule="auto"/>
        <w:ind w:firstLine="420" w:firstLineChars="200"/>
        <w:rPr>
          <w:rFonts w:ascii="宋体" w:hAnsi="宋体" w:cs="宋体"/>
          <w:b/>
          <w:color w:val="auto"/>
        </w:rPr>
      </w:pPr>
      <w:r>
        <w:rPr>
          <w:rFonts w:hint="eastAsia" w:ascii="宋体" w:hAnsi="宋体" w:cs="宋体"/>
          <w:color w:val="auto"/>
        </w:rPr>
        <w:t xml:space="preserve">2.1 </w:t>
      </w:r>
      <w:r>
        <w:rPr>
          <w:rFonts w:hint="eastAsia" w:ascii="宋体" w:hAnsi="宋体" w:cs="宋体"/>
          <w:bCs/>
          <w:color w:val="auto"/>
        </w:rPr>
        <w:t>项目执行期限自______年___月___日至___年__月__日。</w:t>
      </w:r>
    </w:p>
    <w:p>
      <w:pPr>
        <w:snapToGrid w:val="0"/>
        <w:spacing w:line="360" w:lineRule="auto"/>
        <w:ind w:firstLine="420" w:firstLineChars="200"/>
        <w:rPr>
          <w:rFonts w:ascii="宋体" w:hAnsi="宋体" w:cs="宋体"/>
          <w:bCs/>
          <w:color w:val="auto"/>
        </w:rPr>
      </w:pPr>
      <w:r>
        <w:rPr>
          <w:rFonts w:hint="eastAsia" w:ascii="宋体" w:hAnsi="宋体" w:cs="宋体"/>
          <w:color w:val="auto"/>
        </w:rPr>
        <w:t xml:space="preserve">2.2 </w:t>
      </w:r>
      <w:r>
        <w:rPr>
          <w:rFonts w:hint="eastAsia" w:ascii="宋体" w:hAnsi="宋体" w:cs="宋体"/>
          <w:bCs/>
          <w:color w:val="auto"/>
        </w:rPr>
        <w:t>在项目执行过程中，甲方需修改创意或提出其他工作要求的，由双方另行协商确定。</w:t>
      </w:r>
    </w:p>
    <w:p>
      <w:pPr>
        <w:outlineLvl w:val="9"/>
        <w:rPr>
          <w:rFonts w:ascii="宋体" w:hAnsi="宋体" w:cs="宋体"/>
          <w:color w:val="auto"/>
          <w:sz w:val="21"/>
          <w:szCs w:val="21"/>
        </w:rPr>
      </w:pPr>
      <w:bookmarkStart w:id="251" w:name="_Toc5389"/>
      <w:r>
        <w:rPr>
          <w:rFonts w:hint="eastAsia" w:ascii="宋体" w:hAnsi="宋体" w:cs="宋体"/>
          <w:color w:val="auto"/>
          <w:sz w:val="21"/>
          <w:szCs w:val="21"/>
        </w:rPr>
        <w:t>第3条  合同价格</w:t>
      </w:r>
      <w:bookmarkEnd w:id="251"/>
    </w:p>
    <w:p>
      <w:pPr>
        <w:spacing w:after="156" w:afterLines="50" w:line="360" w:lineRule="auto"/>
        <w:ind w:firstLine="420" w:firstLineChars="200"/>
        <w:rPr>
          <w:rFonts w:ascii="宋体" w:hAnsi="宋体" w:cs="宋体"/>
          <w:color w:val="auto"/>
        </w:rPr>
      </w:pPr>
      <w:r>
        <w:rPr>
          <w:rFonts w:hint="eastAsia" w:ascii="宋体" w:hAnsi="宋体" w:cs="宋体"/>
          <w:color w:val="auto"/>
        </w:rPr>
        <w:t>3.1 合同价格为人民币（大写）_</w:t>
      </w:r>
      <w:r>
        <w:rPr>
          <w:rFonts w:hint="eastAsia" w:ascii="宋体" w:hAnsi="宋体" w:cs="宋体"/>
          <w:bCs/>
          <w:color w:val="auto"/>
        </w:rPr>
        <w:t xml:space="preserve">_ </w:t>
      </w:r>
      <w:r>
        <w:rPr>
          <w:rFonts w:hint="eastAsia" w:ascii="宋体" w:hAnsi="宋体" w:cs="宋体"/>
          <w:color w:val="auto"/>
        </w:rPr>
        <w:t>(￥</w:t>
      </w:r>
      <w:r>
        <w:rPr>
          <w:rFonts w:hint="eastAsia" w:ascii="宋体" w:hAnsi="宋体" w:cs="宋体"/>
          <w:bCs/>
          <w:color w:val="auto"/>
        </w:rPr>
        <w:t xml:space="preserve">__     </w:t>
      </w:r>
      <w:r>
        <w:rPr>
          <w:rFonts w:hint="eastAsia" w:ascii="宋体" w:hAnsi="宋体" w:cs="宋体"/>
          <w:color w:val="auto"/>
        </w:rPr>
        <w:t>)（含税）。</w:t>
      </w:r>
    </w:p>
    <w:p>
      <w:pPr>
        <w:spacing w:after="156" w:afterLines="50" w:line="360" w:lineRule="auto"/>
        <w:rPr>
          <w:rFonts w:ascii="宋体" w:hAnsi="宋体" w:cs="宋体"/>
          <w:color w:val="auto"/>
        </w:rPr>
      </w:pPr>
      <w:r>
        <w:rPr>
          <w:rFonts w:hint="eastAsia" w:ascii="宋体" w:hAnsi="宋体" w:cs="宋体"/>
          <w:color w:val="auto"/>
        </w:rPr>
        <w:t xml:space="preserve">    3.2 支付方式：</w:t>
      </w:r>
      <w:r>
        <w:rPr>
          <w:rFonts w:hint="eastAsia" w:ascii="宋体" w:hAnsi="宋体" w:cs="宋体"/>
          <w:color w:val="auto"/>
          <w:u w:val="single"/>
        </w:rPr>
        <w:t xml:space="preserve">签订合同后30日内支付合同价款的70%，项目验收合格后支付全部尾款 </w:t>
      </w:r>
      <w:r>
        <w:rPr>
          <w:rFonts w:hint="eastAsia" w:ascii="宋体" w:hAnsi="宋体" w:cs="宋体"/>
          <w:color w:val="auto"/>
        </w:rPr>
        <w:t>。</w:t>
      </w:r>
    </w:p>
    <w:p>
      <w:pPr>
        <w:outlineLvl w:val="9"/>
        <w:rPr>
          <w:rFonts w:ascii="宋体" w:hAnsi="宋体" w:cs="宋体"/>
          <w:color w:val="auto"/>
          <w:sz w:val="21"/>
          <w:szCs w:val="21"/>
        </w:rPr>
      </w:pPr>
      <w:bookmarkStart w:id="252" w:name="_Toc2857"/>
      <w:r>
        <w:rPr>
          <w:rFonts w:hint="eastAsia" w:ascii="宋体" w:hAnsi="宋体" w:cs="宋体"/>
          <w:color w:val="auto"/>
          <w:sz w:val="21"/>
          <w:szCs w:val="21"/>
        </w:rPr>
        <w:t>第4条  验收标准和方法</w:t>
      </w:r>
      <w:bookmarkEnd w:id="252"/>
    </w:p>
    <w:p>
      <w:pPr>
        <w:snapToGrid w:val="0"/>
        <w:spacing w:line="360" w:lineRule="auto"/>
        <w:ind w:firstLine="420" w:firstLineChars="200"/>
        <w:rPr>
          <w:rFonts w:ascii="宋体" w:hAnsi="宋体" w:cs="宋体"/>
          <w:color w:val="auto"/>
        </w:rPr>
      </w:pPr>
      <w:r>
        <w:rPr>
          <w:rFonts w:hint="eastAsia" w:ascii="宋体" w:hAnsi="宋体" w:cs="宋体"/>
          <w:color w:val="auto"/>
        </w:rPr>
        <w:t>乙方应在约定的时间内将工作完成并由甲方审查。经审查，符合甲方要求的，甲方将予以接受。如甲方有异议的，乙方应按照甲方的意见完成修改。</w:t>
      </w:r>
    </w:p>
    <w:p>
      <w:pPr>
        <w:outlineLvl w:val="9"/>
        <w:rPr>
          <w:rFonts w:ascii="宋体" w:hAnsi="宋体" w:cs="宋体"/>
          <w:color w:val="auto"/>
          <w:sz w:val="21"/>
          <w:szCs w:val="21"/>
        </w:rPr>
      </w:pPr>
      <w:bookmarkStart w:id="253" w:name="_Toc18780"/>
      <w:r>
        <w:rPr>
          <w:rFonts w:hint="eastAsia" w:ascii="宋体" w:hAnsi="宋体" w:cs="宋体"/>
          <w:color w:val="auto"/>
          <w:sz w:val="21"/>
          <w:szCs w:val="21"/>
        </w:rPr>
        <w:t>第5条  知识产权</w:t>
      </w:r>
      <w:bookmarkEnd w:id="253"/>
    </w:p>
    <w:p>
      <w:pPr>
        <w:snapToGrid w:val="0"/>
        <w:spacing w:line="360" w:lineRule="auto"/>
        <w:ind w:firstLine="420" w:firstLineChars="200"/>
        <w:rPr>
          <w:rFonts w:ascii="宋体" w:hAnsi="宋体" w:cs="宋体"/>
          <w:color w:val="auto"/>
        </w:rPr>
      </w:pPr>
      <w:r>
        <w:rPr>
          <w:rFonts w:hint="eastAsia" w:ascii="宋体" w:hAnsi="宋体" w:cs="宋体"/>
          <w:color w:val="auto"/>
        </w:rPr>
        <w:t>5.1乙方根据本合同约定制作的</w:t>
      </w:r>
      <w:r>
        <w:rPr>
          <w:rFonts w:hint="eastAsia" w:ascii="宋体" w:hAnsi="宋体" w:cs="宋体"/>
          <w:bCs/>
          <w:color w:val="auto"/>
        </w:rPr>
        <w:t>项目</w:t>
      </w:r>
      <w:r>
        <w:rPr>
          <w:rFonts w:hint="eastAsia" w:ascii="宋体" w:hAnsi="宋体" w:cs="宋体"/>
          <w:color w:val="auto"/>
        </w:rPr>
        <w:t>完成后其著作权、署名权及其他相关知识产权归甲方所有，未经甲方书面同意，乙方不得公开发表、使用或向任何第三方提供上述</w:t>
      </w:r>
      <w:r>
        <w:rPr>
          <w:rFonts w:hint="eastAsia" w:ascii="宋体" w:hAnsi="宋体" w:cs="宋体"/>
          <w:bCs/>
          <w:color w:val="auto"/>
        </w:rPr>
        <w:t>内容</w:t>
      </w:r>
      <w:r>
        <w:rPr>
          <w:rFonts w:hint="eastAsia" w:ascii="宋体" w:hAnsi="宋体" w:cs="宋体"/>
          <w:color w:val="auto"/>
        </w:rPr>
        <w:t>；除非经甲方书面同意，乙方不得署名。</w:t>
      </w:r>
    </w:p>
    <w:p>
      <w:pPr>
        <w:outlineLvl w:val="9"/>
        <w:rPr>
          <w:rFonts w:ascii="宋体" w:hAnsi="宋体" w:cs="宋体"/>
          <w:color w:val="auto"/>
          <w:sz w:val="21"/>
          <w:szCs w:val="21"/>
        </w:rPr>
      </w:pPr>
      <w:bookmarkStart w:id="254" w:name="_Toc27743"/>
      <w:r>
        <w:rPr>
          <w:rFonts w:hint="eastAsia" w:ascii="宋体" w:hAnsi="宋体" w:cs="宋体"/>
          <w:color w:val="auto"/>
          <w:sz w:val="21"/>
          <w:szCs w:val="21"/>
        </w:rPr>
        <w:t>第6条  保密</w:t>
      </w:r>
      <w:bookmarkEnd w:id="254"/>
    </w:p>
    <w:p>
      <w:pPr>
        <w:snapToGrid w:val="0"/>
        <w:spacing w:line="360" w:lineRule="auto"/>
        <w:ind w:firstLine="420" w:firstLineChars="200"/>
        <w:rPr>
          <w:rFonts w:ascii="宋体" w:hAnsi="宋体" w:cs="宋体"/>
          <w:color w:val="auto"/>
        </w:rPr>
      </w:pPr>
      <w:r>
        <w:rPr>
          <w:rFonts w:hint="eastAsia" w:ascii="宋体" w:hAnsi="宋体" w:cs="宋体"/>
          <w:color w:val="auto"/>
        </w:rPr>
        <w:t>6.1乙方及其参与合同工作的有关人员应对合作项目和在合同执行过程中了解到的甲方商业秘密、甲方提供的文件资料以及其他尚未公开的有关信息承担保密义务，并采取相应的保密措施。乙方应承担的保密义务包括但不限于：</w:t>
      </w:r>
    </w:p>
    <w:p>
      <w:pPr>
        <w:snapToGrid w:val="0"/>
        <w:spacing w:line="360" w:lineRule="auto"/>
        <w:ind w:firstLine="420" w:firstLineChars="200"/>
        <w:rPr>
          <w:rFonts w:ascii="宋体" w:hAnsi="宋体" w:cs="宋体"/>
          <w:color w:val="auto"/>
        </w:rPr>
      </w:pPr>
      <w:r>
        <w:rPr>
          <w:rFonts w:hint="eastAsia" w:ascii="宋体" w:hAnsi="宋体" w:cs="宋体"/>
          <w:color w:val="auto"/>
        </w:rPr>
        <w:t>6.1.1 未经甲方书面同意，不得将上述商业秘密、文件资料和信息披露给任何第三人；</w:t>
      </w:r>
    </w:p>
    <w:p>
      <w:pPr>
        <w:snapToGrid w:val="0"/>
        <w:spacing w:line="360" w:lineRule="auto"/>
        <w:ind w:firstLine="420" w:firstLineChars="200"/>
        <w:rPr>
          <w:rFonts w:ascii="宋体" w:hAnsi="宋体" w:cs="宋体"/>
          <w:color w:val="auto"/>
        </w:rPr>
      </w:pPr>
      <w:r>
        <w:rPr>
          <w:rFonts w:hint="eastAsia" w:ascii="宋体" w:hAnsi="宋体" w:cs="宋体"/>
          <w:color w:val="auto"/>
        </w:rPr>
        <w:t>6.1.2 不得将上述商业秘密、文件资料和信息用于本合同以外的其他目的；</w:t>
      </w:r>
    </w:p>
    <w:p>
      <w:pPr>
        <w:snapToGrid w:val="0"/>
        <w:spacing w:line="360" w:lineRule="auto"/>
        <w:ind w:firstLine="420" w:firstLineChars="200"/>
        <w:rPr>
          <w:rFonts w:ascii="宋体" w:hAnsi="宋体" w:cs="宋体"/>
          <w:color w:val="auto"/>
        </w:rPr>
      </w:pPr>
      <w:r>
        <w:rPr>
          <w:rFonts w:hint="eastAsia" w:ascii="宋体" w:hAnsi="宋体" w:cs="宋体"/>
          <w:color w:val="auto"/>
        </w:rPr>
        <w:t>6.1.3 在项目内容验收通过后或甲方要求时，及时将上述文件资料和信息返还甲方，或按甲方要求作适当处理。</w:t>
      </w:r>
    </w:p>
    <w:p>
      <w:pPr>
        <w:snapToGrid w:val="0"/>
        <w:spacing w:line="360" w:lineRule="auto"/>
        <w:ind w:firstLine="420" w:firstLineChars="200"/>
        <w:rPr>
          <w:rFonts w:ascii="宋体" w:hAnsi="宋体" w:cs="宋体"/>
          <w:color w:val="auto"/>
        </w:rPr>
      </w:pPr>
      <w:r>
        <w:rPr>
          <w:rFonts w:hint="eastAsia" w:ascii="宋体" w:hAnsi="宋体" w:cs="宋体"/>
          <w:color w:val="auto"/>
        </w:rPr>
        <w:t>6.2 上述保密义务的期限至项目内容及相关文件资料或信息正式向社会公开之日、或保密信息已成为公开、或甲方书面解除乙方此合同项下保密义务之日止。</w:t>
      </w:r>
    </w:p>
    <w:p>
      <w:pPr>
        <w:snapToGrid w:val="0"/>
        <w:spacing w:line="360" w:lineRule="auto"/>
        <w:ind w:firstLine="420" w:firstLineChars="200"/>
        <w:rPr>
          <w:rFonts w:ascii="宋体" w:hAnsi="宋体" w:cs="宋体"/>
          <w:color w:val="auto"/>
        </w:rPr>
      </w:pPr>
      <w:r>
        <w:rPr>
          <w:rFonts w:hint="eastAsia" w:ascii="宋体" w:hAnsi="宋体" w:cs="宋体"/>
          <w:color w:val="auto"/>
        </w:rPr>
        <w:t>6.3乙方违反保密义务的，应承担一切法律责任并赔偿甲方因此遭受的全部损失。</w:t>
      </w:r>
    </w:p>
    <w:p>
      <w:pPr>
        <w:outlineLvl w:val="9"/>
        <w:rPr>
          <w:rFonts w:ascii="宋体" w:hAnsi="宋体" w:cs="宋体"/>
          <w:color w:val="auto"/>
          <w:sz w:val="21"/>
          <w:szCs w:val="21"/>
        </w:rPr>
      </w:pPr>
      <w:bookmarkStart w:id="255" w:name="_Toc27885"/>
      <w:r>
        <w:rPr>
          <w:rFonts w:hint="eastAsia" w:ascii="宋体" w:hAnsi="宋体" w:cs="宋体"/>
          <w:color w:val="auto"/>
          <w:sz w:val="21"/>
          <w:szCs w:val="21"/>
        </w:rPr>
        <w:t>第7条  违约责任</w:t>
      </w:r>
      <w:bookmarkEnd w:id="255"/>
    </w:p>
    <w:p>
      <w:pPr>
        <w:snapToGrid w:val="0"/>
        <w:spacing w:line="360" w:lineRule="auto"/>
        <w:ind w:firstLine="420" w:firstLineChars="200"/>
        <w:rPr>
          <w:rFonts w:ascii="宋体" w:hAnsi="宋体" w:cs="宋体"/>
          <w:color w:val="auto"/>
        </w:rPr>
      </w:pPr>
      <w:r>
        <w:rPr>
          <w:rFonts w:hint="eastAsia" w:ascii="宋体" w:hAnsi="宋体" w:cs="宋体"/>
          <w:color w:val="auto"/>
        </w:rPr>
        <w:t>乙方不履行本合同义务或者履行义务不符合约定的，甲方有权要求乙方承担继续履行、赔偿损失或支付违约金等违约责任。</w:t>
      </w:r>
    </w:p>
    <w:p>
      <w:pPr>
        <w:snapToGrid w:val="0"/>
        <w:spacing w:line="360" w:lineRule="auto"/>
        <w:ind w:firstLine="420" w:firstLineChars="200"/>
        <w:rPr>
          <w:rFonts w:ascii="宋体" w:hAnsi="宋体" w:cs="宋体"/>
          <w:color w:val="auto"/>
        </w:rPr>
      </w:pPr>
      <w:r>
        <w:rPr>
          <w:rFonts w:hint="eastAsia" w:ascii="宋体" w:hAnsi="宋体" w:cs="宋体"/>
          <w:color w:val="auto"/>
        </w:rPr>
        <w:t>7.1 乙方未按时向甲方交付符合合同要求的</w:t>
      </w:r>
      <w:r>
        <w:rPr>
          <w:rFonts w:hint="eastAsia" w:ascii="宋体" w:hAnsi="宋体" w:cs="宋体"/>
          <w:bCs/>
          <w:color w:val="auto"/>
        </w:rPr>
        <w:t>项目</w:t>
      </w:r>
      <w:r>
        <w:rPr>
          <w:rFonts w:hint="eastAsia" w:ascii="宋体" w:hAnsi="宋体" w:cs="宋体"/>
          <w:color w:val="auto"/>
        </w:rPr>
        <w:t>作品的，每逾期1天应向甲方支付合同价格0.5%的违约金。逾期超过30天（含本数）的，甲方有权提前解除合同。甲方解除合同的，乙方应退还甲方已支付的全部合同价款。</w:t>
      </w:r>
    </w:p>
    <w:p>
      <w:pPr>
        <w:snapToGrid w:val="0"/>
        <w:spacing w:line="360" w:lineRule="auto"/>
        <w:ind w:firstLine="420" w:firstLineChars="200"/>
        <w:rPr>
          <w:rFonts w:ascii="宋体" w:hAnsi="宋体" w:cs="宋体"/>
          <w:color w:val="auto"/>
        </w:rPr>
      </w:pPr>
      <w:r>
        <w:rPr>
          <w:rFonts w:hint="eastAsia" w:ascii="宋体" w:hAnsi="宋体" w:cs="宋体"/>
          <w:color w:val="auto"/>
        </w:rPr>
        <w:t>7.2乙方按合同约定应支付的违约金低于给甲方造成的损失的，并应就差额部分向甲方进行赔偿。</w:t>
      </w:r>
    </w:p>
    <w:p>
      <w:pPr>
        <w:outlineLvl w:val="9"/>
        <w:rPr>
          <w:rFonts w:ascii="宋体" w:hAnsi="宋体" w:cs="宋体"/>
          <w:color w:val="auto"/>
          <w:sz w:val="21"/>
          <w:szCs w:val="21"/>
        </w:rPr>
      </w:pPr>
      <w:bookmarkStart w:id="256" w:name="_Toc26415"/>
      <w:r>
        <w:rPr>
          <w:rFonts w:hint="eastAsia" w:ascii="宋体" w:hAnsi="宋体" w:cs="宋体"/>
          <w:color w:val="auto"/>
          <w:sz w:val="21"/>
          <w:szCs w:val="21"/>
        </w:rPr>
        <w:t>第8条  适用法律</w:t>
      </w:r>
      <w:r>
        <w:rPr>
          <w:rStyle w:val="49"/>
          <w:rFonts w:hint="eastAsia" w:ascii="宋体" w:hAnsi="宋体" w:cs="宋体"/>
          <w:color w:val="auto"/>
          <w:sz w:val="21"/>
          <w:szCs w:val="21"/>
        </w:rPr>
        <w:footnoteReference w:id="1"/>
      </w:r>
      <w:bookmarkEnd w:id="256"/>
    </w:p>
    <w:p>
      <w:pPr>
        <w:snapToGrid w:val="0"/>
        <w:spacing w:line="360" w:lineRule="auto"/>
        <w:ind w:firstLine="420" w:firstLineChars="200"/>
        <w:rPr>
          <w:rFonts w:ascii="宋体" w:hAnsi="宋体" w:cs="宋体"/>
          <w:color w:val="auto"/>
        </w:rPr>
      </w:pPr>
      <w:r>
        <w:rPr>
          <w:rFonts w:hint="eastAsia" w:ascii="宋体" w:hAnsi="宋体" w:cs="宋体"/>
          <w:color w:val="auto"/>
        </w:rPr>
        <w:t>本合同的订立、解释、履行及争议解决，均适用中华人民共和国法律。</w:t>
      </w:r>
    </w:p>
    <w:p>
      <w:pPr>
        <w:outlineLvl w:val="9"/>
        <w:rPr>
          <w:rFonts w:ascii="宋体" w:hAnsi="宋体" w:cs="宋体"/>
          <w:color w:val="auto"/>
          <w:sz w:val="21"/>
          <w:szCs w:val="21"/>
        </w:rPr>
      </w:pPr>
      <w:bookmarkStart w:id="257" w:name="_Toc6803"/>
      <w:r>
        <w:rPr>
          <w:rFonts w:hint="eastAsia" w:ascii="宋体" w:hAnsi="宋体" w:cs="宋体"/>
          <w:color w:val="auto"/>
          <w:sz w:val="21"/>
          <w:szCs w:val="21"/>
        </w:rPr>
        <w:t>第9条  争议解决</w:t>
      </w:r>
      <w:r>
        <w:rPr>
          <w:rFonts w:hint="eastAsia" w:ascii="宋体" w:hAnsi="宋体" w:cs="宋体"/>
          <w:color w:val="auto"/>
          <w:sz w:val="21"/>
          <w:szCs w:val="21"/>
          <w:vertAlign w:val="superscript"/>
        </w:rPr>
        <w:footnoteReference w:id="2"/>
      </w:r>
      <w:bookmarkEnd w:id="257"/>
    </w:p>
    <w:p>
      <w:pPr>
        <w:snapToGrid w:val="0"/>
        <w:spacing w:line="360" w:lineRule="auto"/>
        <w:ind w:firstLine="420" w:firstLineChars="200"/>
        <w:rPr>
          <w:rFonts w:ascii="宋体" w:hAnsi="宋体" w:cs="宋体"/>
          <w:color w:val="auto"/>
        </w:rPr>
      </w:pPr>
      <w:r>
        <w:rPr>
          <w:rFonts w:hint="eastAsia" w:ascii="宋体" w:hAnsi="宋体" w:cs="宋体"/>
          <w:color w:val="auto"/>
        </w:rPr>
        <w:t>9.1 双方发生争议时，应本着诚实信用原则，通过友好协商解决。</w:t>
      </w:r>
    </w:p>
    <w:p>
      <w:pPr>
        <w:snapToGrid w:val="0"/>
        <w:spacing w:line="360" w:lineRule="auto"/>
        <w:ind w:firstLine="420" w:firstLineChars="200"/>
        <w:rPr>
          <w:rFonts w:ascii="宋体" w:hAnsi="宋体" w:cs="宋体"/>
          <w:color w:val="auto"/>
        </w:rPr>
      </w:pPr>
      <w:r>
        <w:rPr>
          <w:rFonts w:hint="eastAsia" w:ascii="宋体" w:hAnsi="宋体" w:cs="宋体"/>
          <w:color w:val="auto"/>
        </w:rPr>
        <w:t>9.2 若争议经协商仍无法解决的，按以下第</w:t>
      </w:r>
      <w:r>
        <w:rPr>
          <w:rFonts w:hint="eastAsia" w:ascii="宋体" w:hAnsi="宋体" w:cs="宋体"/>
          <w:color w:val="auto"/>
          <w:u w:val="single"/>
        </w:rPr>
        <w:t>（2）</w:t>
      </w:r>
      <w:r>
        <w:rPr>
          <w:rFonts w:hint="eastAsia" w:ascii="宋体" w:hAnsi="宋体" w:cs="宋体"/>
          <w:color w:val="auto"/>
        </w:rPr>
        <w:t>种方式处理：</w:t>
      </w:r>
    </w:p>
    <w:p>
      <w:pPr>
        <w:snapToGrid w:val="0"/>
        <w:spacing w:line="360" w:lineRule="auto"/>
        <w:ind w:firstLine="420" w:firstLineChars="200"/>
        <w:rPr>
          <w:rFonts w:ascii="宋体" w:hAnsi="宋体" w:cs="宋体"/>
          <w:color w:val="auto"/>
        </w:rPr>
      </w:pPr>
      <w:r>
        <w:rPr>
          <w:rFonts w:hint="eastAsia" w:ascii="宋体" w:hAnsi="宋体" w:cs="宋体"/>
          <w:color w:val="auto"/>
        </w:rPr>
        <w:t>（1）仲裁：提交_______，按照申请仲裁时该仲裁机构有效的仲裁规则</w:t>
      </w:r>
      <w:r>
        <w:rPr>
          <w:rFonts w:hint="eastAsia" w:ascii="宋体" w:hAnsi="宋体" w:cs="宋体"/>
          <w:color w:val="auto"/>
          <w:vertAlign w:val="superscript"/>
        </w:rPr>
        <w:footnoteReference w:id="3"/>
      </w:r>
      <w:r>
        <w:rPr>
          <w:rFonts w:hint="eastAsia" w:ascii="宋体" w:hAnsi="宋体" w:cs="宋体"/>
          <w:color w:val="auto"/>
        </w:rPr>
        <w:t>进行仲裁。仲裁裁决是终局的，对双方均有约束力。</w:t>
      </w:r>
    </w:p>
    <w:p>
      <w:pPr>
        <w:snapToGrid w:val="0"/>
        <w:spacing w:line="360" w:lineRule="auto"/>
        <w:ind w:firstLine="420" w:firstLineChars="200"/>
        <w:rPr>
          <w:rFonts w:ascii="宋体" w:hAnsi="宋体" w:cs="宋体"/>
          <w:color w:val="auto"/>
        </w:rPr>
      </w:pPr>
      <w:r>
        <w:rPr>
          <w:rFonts w:hint="eastAsia" w:ascii="宋体" w:hAnsi="宋体" w:cs="宋体"/>
          <w:color w:val="auto"/>
        </w:rPr>
        <w:t>（2）诉讼：向__甲方__所在地人民法院提起诉讼。</w:t>
      </w:r>
    </w:p>
    <w:p>
      <w:pPr>
        <w:snapToGrid w:val="0"/>
        <w:spacing w:line="360" w:lineRule="auto"/>
        <w:ind w:firstLine="420" w:firstLineChars="200"/>
        <w:rPr>
          <w:rFonts w:ascii="宋体" w:hAnsi="宋体" w:cs="宋体"/>
          <w:color w:val="auto"/>
        </w:rPr>
      </w:pPr>
      <w:r>
        <w:rPr>
          <w:rFonts w:hint="eastAsia" w:ascii="宋体" w:hAnsi="宋体" w:cs="宋体"/>
          <w:color w:val="auto"/>
        </w:rPr>
        <w:t>9.3 在争议解决期间，合同中未涉及争议部分的条款仍须履行。</w:t>
      </w:r>
    </w:p>
    <w:p>
      <w:pPr>
        <w:outlineLvl w:val="9"/>
        <w:rPr>
          <w:rFonts w:ascii="宋体" w:hAnsi="宋体" w:cs="宋体"/>
          <w:color w:val="auto"/>
          <w:sz w:val="21"/>
          <w:szCs w:val="21"/>
        </w:rPr>
      </w:pPr>
      <w:bookmarkStart w:id="258" w:name="_Toc6171"/>
      <w:r>
        <w:rPr>
          <w:rFonts w:hint="eastAsia" w:ascii="宋体" w:hAnsi="宋体" w:cs="宋体"/>
          <w:color w:val="auto"/>
          <w:sz w:val="21"/>
          <w:szCs w:val="21"/>
        </w:rPr>
        <w:t>第10条  合同生效</w:t>
      </w:r>
      <w:bookmarkEnd w:id="258"/>
    </w:p>
    <w:p>
      <w:pPr>
        <w:snapToGrid w:val="0"/>
        <w:spacing w:line="360" w:lineRule="auto"/>
        <w:ind w:firstLine="420" w:firstLineChars="200"/>
        <w:rPr>
          <w:rFonts w:ascii="宋体" w:hAnsi="宋体" w:cs="宋体"/>
          <w:color w:val="auto"/>
        </w:rPr>
      </w:pPr>
      <w:r>
        <w:rPr>
          <w:rFonts w:hint="eastAsia" w:ascii="宋体" w:hAnsi="宋体" w:cs="宋体"/>
          <w:color w:val="auto"/>
        </w:rPr>
        <w:t>本合同自双方法定代表人（负责人）或其授权代表</w:t>
      </w:r>
      <w:r>
        <w:rPr>
          <w:rFonts w:hint="eastAsia" w:ascii="宋体" w:hAnsi="宋体" w:cs="宋体"/>
          <w:color w:val="auto"/>
          <w:vertAlign w:val="superscript"/>
        </w:rPr>
        <w:footnoteReference w:id="4"/>
      </w:r>
      <w:r>
        <w:rPr>
          <w:rFonts w:hint="eastAsia" w:ascii="宋体" w:hAnsi="宋体" w:cs="宋体"/>
          <w:color w:val="auto"/>
        </w:rPr>
        <w:t>签署并加盖双方公章或合同专用章之日起生效。</w:t>
      </w:r>
    </w:p>
    <w:p>
      <w:pPr>
        <w:outlineLvl w:val="9"/>
        <w:rPr>
          <w:rFonts w:ascii="宋体" w:hAnsi="宋体" w:cs="宋体"/>
          <w:color w:val="auto"/>
          <w:sz w:val="21"/>
          <w:szCs w:val="21"/>
        </w:rPr>
      </w:pPr>
      <w:bookmarkStart w:id="259" w:name="_Toc7644"/>
      <w:r>
        <w:rPr>
          <w:rFonts w:hint="eastAsia" w:ascii="宋体" w:hAnsi="宋体" w:cs="宋体"/>
          <w:color w:val="auto"/>
          <w:sz w:val="21"/>
          <w:szCs w:val="21"/>
        </w:rPr>
        <w:t>第11条  签订日期</w:t>
      </w:r>
      <w:bookmarkEnd w:id="259"/>
    </w:p>
    <w:p>
      <w:pPr>
        <w:snapToGrid w:val="0"/>
        <w:spacing w:line="360" w:lineRule="auto"/>
        <w:ind w:firstLine="420" w:firstLineChars="200"/>
        <w:jc w:val="left"/>
        <w:rPr>
          <w:rFonts w:ascii="宋体" w:hAnsi="宋体" w:cs="宋体"/>
          <w:snapToGrid w:val="0"/>
          <w:color w:val="auto"/>
          <w:kern w:val="0"/>
        </w:rPr>
      </w:pPr>
      <w:r>
        <w:rPr>
          <w:rFonts w:hint="eastAsia" w:ascii="宋体" w:hAnsi="宋体" w:cs="宋体"/>
          <w:color w:val="auto"/>
        </w:rPr>
        <w:t>合同签订日期以双方中最后一方签署并加盖公章或合同专用章的日期为准。</w:t>
      </w:r>
    </w:p>
    <w:p>
      <w:pPr>
        <w:outlineLvl w:val="9"/>
        <w:rPr>
          <w:rFonts w:ascii="宋体" w:hAnsi="宋体" w:cs="宋体"/>
          <w:color w:val="auto"/>
          <w:sz w:val="21"/>
          <w:szCs w:val="21"/>
        </w:rPr>
      </w:pPr>
      <w:bookmarkStart w:id="260" w:name="_Toc319"/>
      <w:r>
        <w:rPr>
          <w:rFonts w:hint="eastAsia" w:ascii="宋体" w:hAnsi="宋体" w:cs="宋体"/>
          <w:color w:val="auto"/>
          <w:sz w:val="21"/>
          <w:szCs w:val="21"/>
        </w:rPr>
        <w:t>第12条  份数</w:t>
      </w:r>
      <w:bookmarkEnd w:id="260"/>
    </w:p>
    <w:p>
      <w:pPr>
        <w:snapToGrid w:val="0"/>
        <w:spacing w:line="360" w:lineRule="auto"/>
        <w:ind w:firstLine="420" w:firstLineChars="200"/>
        <w:rPr>
          <w:rFonts w:ascii="宋体" w:hAnsi="宋体" w:cs="宋体"/>
          <w:color w:val="auto"/>
        </w:rPr>
      </w:pPr>
      <w:r>
        <w:rPr>
          <w:rFonts w:hint="eastAsia" w:ascii="宋体" w:hAnsi="宋体" w:cs="宋体"/>
          <w:color w:val="auto"/>
        </w:rPr>
        <w:t>本合同正本一式</w:t>
      </w:r>
      <w:r>
        <w:rPr>
          <w:rFonts w:hint="eastAsia" w:ascii="宋体" w:hAnsi="宋体" w:cs="宋体"/>
          <w:color w:val="auto"/>
          <w:u w:val="single"/>
        </w:rPr>
        <w:t>贰</w:t>
      </w:r>
      <w:r>
        <w:rPr>
          <w:rFonts w:hint="eastAsia" w:ascii="宋体" w:hAnsi="宋体" w:cs="宋体"/>
          <w:color w:val="auto"/>
        </w:rPr>
        <w:t>份，甲方执</w:t>
      </w:r>
      <w:r>
        <w:rPr>
          <w:rFonts w:hint="eastAsia" w:ascii="宋体" w:hAnsi="宋体" w:cs="宋体"/>
          <w:color w:val="auto"/>
          <w:u w:val="single"/>
        </w:rPr>
        <w:t>壹</w:t>
      </w:r>
      <w:r>
        <w:rPr>
          <w:rFonts w:hint="eastAsia" w:ascii="宋体" w:hAnsi="宋体" w:cs="宋体"/>
          <w:color w:val="auto"/>
        </w:rPr>
        <w:t>份，乙方执</w:t>
      </w:r>
      <w:r>
        <w:rPr>
          <w:rFonts w:hint="eastAsia" w:ascii="宋体" w:hAnsi="宋体" w:cs="宋体"/>
          <w:color w:val="auto"/>
          <w:u w:val="single"/>
        </w:rPr>
        <w:t>壹</w:t>
      </w:r>
      <w:r>
        <w:rPr>
          <w:rFonts w:hint="eastAsia" w:ascii="宋体" w:hAnsi="宋体" w:cs="宋体"/>
          <w:color w:val="auto"/>
        </w:rPr>
        <w:t>份；副本</w:t>
      </w:r>
      <w:r>
        <w:rPr>
          <w:rFonts w:hint="eastAsia" w:ascii="宋体" w:hAnsi="宋体" w:cs="宋体"/>
          <w:color w:val="auto"/>
          <w:u w:val="single"/>
        </w:rPr>
        <w:t>肆</w:t>
      </w:r>
      <w:r>
        <w:rPr>
          <w:rFonts w:hint="eastAsia" w:ascii="宋体" w:hAnsi="宋体" w:cs="宋体"/>
          <w:color w:val="auto"/>
        </w:rPr>
        <w:t>份，甲方执</w:t>
      </w:r>
      <w:r>
        <w:rPr>
          <w:rFonts w:hint="eastAsia" w:ascii="宋体" w:hAnsi="宋体" w:cs="宋体"/>
          <w:color w:val="auto"/>
          <w:u w:val="single"/>
        </w:rPr>
        <w:t>贰</w:t>
      </w:r>
      <w:r>
        <w:rPr>
          <w:rFonts w:hint="eastAsia" w:ascii="宋体" w:hAnsi="宋体" w:cs="宋体"/>
          <w:color w:val="auto"/>
        </w:rPr>
        <w:t>份，乙方执</w:t>
      </w:r>
      <w:r>
        <w:rPr>
          <w:rFonts w:hint="eastAsia" w:ascii="宋体" w:hAnsi="宋体" w:cs="宋体"/>
          <w:color w:val="auto"/>
          <w:u w:val="single"/>
        </w:rPr>
        <w:t>贰</w:t>
      </w:r>
      <w:r>
        <w:rPr>
          <w:rFonts w:hint="eastAsia" w:ascii="宋体" w:hAnsi="宋体" w:cs="宋体"/>
          <w:color w:val="auto"/>
        </w:rPr>
        <w:t>份。</w:t>
      </w:r>
    </w:p>
    <w:p>
      <w:pPr>
        <w:outlineLvl w:val="9"/>
        <w:rPr>
          <w:rFonts w:ascii="宋体" w:hAnsi="宋体" w:cs="宋体"/>
          <w:color w:val="auto"/>
          <w:sz w:val="21"/>
          <w:szCs w:val="21"/>
        </w:rPr>
      </w:pPr>
      <w:bookmarkStart w:id="261" w:name="_Toc27153"/>
      <w:r>
        <w:rPr>
          <w:rFonts w:hint="eastAsia" w:ascii="宋体" w:hAnsi="宋体" w:cs="宋体"/>
          <w:color w:val="auto"/>
          <w:sz w:val="21"/>
          <w:szCs w:val="21"/>
        </w:rPr>
        <w:t>第13条  特别约定</w:t>
      </w:r>
      <w:r>
        <w:rPr>
          <w:rFonts w:hint="eastAsia" w:ascii="宋体" w:hAnsi="宋体" w:cs="宋体"/>
          <w:color w:val="auto"/>
          <w:sz w:val="21"/>
          <w:szCs w:val="21"/>
          <w:vertAlign w:val="superscript"/>
        </w:rPr>
        <w:footnoteReference w:id="5"/>
      </w:r>
      <w:bookmarkEnd w:id="261"/>
    </w:p>
    <w:p>
      <w:pPr>
        <w:snapToGrid w:val="0"/>
        <w:spacing w:line="360" w:lineRule="auto"/>
        <w:ind w:firstLine="420" w:firstLineChars="200"/>
        <w:rPr>
          <w:rFonts w:ascii="宋体" w:hAnsi="宋体" w:cs="宋体"/>
          <w:color w:val="auto"/>
        </w:rPr>
      </w:pPr>
      <w:r>
        <w:rPr>
          <w:rFonts w:hint="eastAsia" w:ascii="宋体" w:hAnsi="宋体" w:cs="宋体"/>
          <w:color w:val="auto"/>
        </w:rPr>
        <w:t>本特别约定是对合同其他条款的修改或补充，如有不一致，以特别约定为准。</w:t>
      </w:r>
    </w:p>
    <w:p>
      <w:pPr>
        <w:autoSpaceDE w:val="0"/>
        <w:autoSpaceDN w:val="0"/>
        <w:adjustRightInd w:val="0"/>
        <w:spacing w:line="360" w:lineRule="auto"/>
        <w:ind w:firstLine="640"/>
        <w:rPr>
          <w:rFonts w:ascii="宋体" w:hAnsi="宋体" w:cs="宋体"/>
          <w:color w:val="auto"/>
          <w:kern w:val="0"/>
          <w:u w:val="single"/>
        </w:rPr>
      </w:pPr>
      <w:r>
        <w:rPr>
          <w:rFonts w:hint="eastAsia" w:ascii="宋体" w:hAnsi="宋体" w:cs="宋体"/>
          <w:color w:val="auto"/>
          <w:kern w:val="0"/>
          <w:u w:val="single"/>
        </w:rPr>
        <w:t xml:space="preserve">                                                </w:t>
      </w: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snapToGrid w:val="0"/>
        <w:rPr>
          <w:rFonts w:ascii="宋体" w:hAnsi="宋体" w:cs="宋体"/>
          <w:color w:val="auto"/>
        </w:rPr>
      </w:pPr>
    </w:p>
    <w:p>
      <w:pPr>
        <w:jc w:val="left"/>
        <w:rPr>
          <w:rFonts w:ascii="宋体" w:hAnsi="宋体" w:cs="宋体"/>
          <w:b/>
          <w:color w:val="auto"/>
        </w:rPr>
      </w:pPr>
      <w:r>
        <w:rPr>
          <w:rFonts w:hint="eastAsia" w:ascii="宋体" w:hAnsi="宋体" w:cs="宋体"/>
          <w:b/>
          <w:color w:val="auto"/>
        </w:rPr>
        <w:br w:type="page"/>
      </w:r>
    </w:p>
    <w:p>
      <w:pPr>
        <w:jc w:val="center"/>
        <w:rPr>
          <w:rFonts w:ascii="宋体" w:hAnsi="宋体" w:cs="宋体"/>
          <w:b/>
          <w:color w:val="auto"/>
        </w:rPr>
      </w:pPr>
      <w:r>
        <w:rPr>
          <w:rFonts w:hint="eastAsia" w:ascii="宋体" w:hAnsi="宋体" w:cs="宋体"/>
          <w:b/>
          <w:color w:val="auto"/>
        </w:rPr>
        <w:t>签 署 页</w:t>
      </w:r>
    </w:p>
    <w:p>
      <w:pPr>
        <w:adjustRightInd w:val="0"/>
        <w:spacing w:after="156" w:afterLines="50"/>
        <w:jc w:val="center"/>
        <w:rPr>
          <w:rFonts w:ascii="宋体" w:hAnsi="宋体" w:cs="宋体"/>
          <w:color w:val="auto"/>
        </w:rPr>
      </w:pPr>
      <w:r>
        <w:rPr>
          <w:rFonts w:hint="eastAsia" w:ascii="宋体" w:hAnsi="宋体" w:cs="宋体"/>
          <w:color w:val="auto"/>
        </w:rPr>
        <w:t>此页无正文</w:t>
      </w:r>
    </w:p>
    <w:tbl>
      <w:tblPr>
        <w:tblStyle w:val="36"/>
        <w:tblW w:w="9180" w:type="dxa"/>
        <w:tblInd w:w="108" w:type="dxa"/>
        <w:tblLayout w:type="fixed"/>
        <w:tblCellMar>
          <w:top w:w="0" w:type="dxa"/>
          <w:left w:w="108" w:type="dxa"/>
          <w:bottom w:w="0" w:type="dxa"/>
          <w:right w:w="108" w:type="dxa"/>
        </w:tblCellMar>
      </w:tblPr>
      <w:tblGrid>
        <w:gridCol w:w="4680"/>
        <w:gridCol w:w="4500"/>
      </w:tblGrid>
      <w:tr>
        <w:tblPrEx>
          <w:tblCellMar>
            <w:top w:w="0" w:type="dxa"/>
            <w:left w:w="108" w:type="dxa"/>
            <w:bottom w:w="0" w:type="dxa"/>
            <w:right w:w="108" w:type="dxa"/>
          </w:tblCellMar>
        </w:tblPrEx>
        <w:trPr>
          <w:cantSplit/>
          <w:trHeight w:val="697" w:hRule="exact"/>
        </w:trPr>
        <w:tc>
          <w:tcPr>
            <w:tcW w:w="4680" w:type="dxa"/>
            <w:vAlign w:val="center"/>
          </w:tcPr>
          <w:p>
            <w:pPr>
              <w:jc w:val="left"/>
              <w:rPr>
                <w:rFonts w:ascii="宋体" w:hAnsi="宋体" w:cs="宋体"/>
                <w:color w:val="auto"/>
              </w:rPr>
            </w:pPr>
            <w:r>
              <w:rPr>
                <w:rFonts w:hint="eastAsia" w:ascii="宋体" w:hAnsi="宋体" w:cs="宋体"/>
                <w:color w:val="auto"/>
              </w:rPr>
              <w:t>甲方：</w:t>
            </w:r>
          </w:p>
          <w:p>
            <w:pPr>
              <w:jc w:val="left"/>
              <w:rPr>
                <w:rFonts w:ascii="宋体" w:hAnsi="宋体" w:cs="宋体"/>
                <w:color w:val="auto"/>
              </w:rPr>
            </w:pPr>
            <w:r>
              <w:rPr>
                <w:rFonts w:hint="eastAsia" w:ascii="宋体" w:hAnsi="宋体" w:cs="宋体"/>
                <w:color w:val="auto"/>
              </w:rPr>
              <w:t xml:space="preserve">（盖章）     </w:t>
            </w:r>
          </w:p>
        </w:tc>
        <w:tc>
          <w:tcPr>
            <w:tcW w:w="4500" w:type="dxa"/>
            <w:vAlign w:val="center"/>
          </w:tcPr>
          <w:p>
            <w:pPr>
              <w:jc w:val="left"/>
              <w:rPr>
                <w:rFonts w:ascii="宋体" w:hAnsi="宋体" w:cs="宋体"/>
                <w:color w:val="auto"/>
              </w:rPr>
            </w:pPr>
            <w:r>
              <w:rPr>
                <w:rFonts w:hint="eastAsia" w:ascii="宋体" w:hAnsi="宋体" w:cs="宋体"/>
                <w:color w:val="auto"/>
              </w:rPr>
              <w:t xml:space="preserve">乙方： </w:t>
            </w:r>
          </w:p>
          <w:p>
            <w:pPr>
              <w:jc w:val="left"/>
              <w:rPr>
                <w:rFonts w:ascii="宋体" w:hAnsi="宋体" w:cs="宋体"/>
                <w:color w:val="auto"/>
              </w:rPr>
            </w:pPr>
            <w:r>
              <w:rPr>
                <w:rFonts w:hint="eastAsia" w:ascii="宋体" w:hAnsi="宋体" w:cs="宋体"/>
                <w:color w:val="auto"/>
              </w:rPr>
              <w:t>（盖章）</w:t>
            </w:r>
          </w:p>
        </w:tc>
      </w:tr>
      <w:tr>
        <w:tblPrEx>
          <w:tblCellMar>
            <w:top w:w="0" w:type="dxa"/>
            <w:left w:w="108" w:type="dxa"/>
            <w:bottom w:w="0" w:type="dxa"/>
            <w:right w:w="108" w:type="dxa"/>
          </w:tblCellMar>
        </w:tblPrEx>
        <w:trPr>
          <w:cantSplit/>
          <w:trHeight w:val="2156" w:hRule="exact"/>
        </w:trPr>
        <w:tc>
          <w:tcPr>
            <w:tcW w:w="4680" w:type="dxa"/>
            <w:vAlign w:val="center"/>
          </w:tcPr>
          <w:p>
            <w:pPr>
              <w:jc w:val="left"/>
              <w:rPr>
                <w:rFonts w:ascii="宋体" w:hAnsi="宋体" w:cs="宋体"/>
                <w:color w:val="auto"/>
              </w:rPr>
            </w:pPr>
            <w:r>
              <w:rPr>
                <w:rFonts w:hint="eastAsia" w:ascii="宋体" w:hAnsi="宋体" w:cs="宋体"/>
                <w:color w:val="auto"/>
              </w:rPr>
              <w:t>法定代表人(负责人)或</w:t>
            </w:r>
          </w:p>
          <w:p>
            <w:pPr>
              <w:jc w:val="left"/>
              <w:rPr>
                <w:rFonts w:ascii="宋体" w:hAnsi="宋体" w:cs="宋体"/>
                <w:color w:val="auto"/>
              </w:rPr>
            </w:pPr>
            <w:r>
              <w:rPr>
                <w:rFonts w:hint="eastAsia" w:ascii="宋体" w:hAnsi="宋体" w:cs="宋体"/>
                <w:color w:val="auto"/>
              </w:rPr>
              <w:t>授权代表（签字）：</w:t>
            </w:r>
          </w:p>
        </w:tc>
        <w:tc>
          <w:tcPr>
            <w:tcW w:w="4500" w:type="dxa"/>
            <w:vAlign w:val="center"/>
          </w:tcPr>
          <w:p>
            <w:pPr>
              <w:jc w:val="left"/>
              <w:rPr>
                <w:rFonts w:ascii="宋体" w:hAnsi="宋体" w:cs="宋体"/>
                <w:color w:val="auto"/>
              </w:rPr>
            </w:pPr>
            <w:r>
              <w:rPr>
                <w:rFonts w:hint="eastAsia" w:ascii="宋体" w:hAnsi="宋体" w:cs="宋体"/>
                <w:color w:val="auto"/>
              </w:rPr>
              <w:t>法定代表人（负责人）或</w:t>
            </w:r>
          </w:p>
          <w:p>
            <w:pPr>
              <w:jc w:val="left"/>
              <w:rPr>
                <w:rFonts w:ascii="宋体" w:hAnsi="宋体" w:cs="宋体"/>
                <w:color w:val="auto"/>
              </w:rPr>
            </w:pPr>
            <w:r>
              <w:rPr>
                <w:rFonts w:hint="eastAsia" w:ascii="宋体" w:hAnsi="宋体" w:cs="宋体"/>
                <w:color w:val="auto"/>
              </w:rPr>
              <w:t>授权代表（签字）：</w:t>
            </w:r>
          </w:p>
        </w:tc>
      </w:tr>
      <w:tr>
        <w:tblPrEx>
          <w:tblCellMar>
            <w:top w:w="0" w:type="dxa"/>
            <w:left w:w="108" w:type="dxa"/>
            <w:bottom w:w="0" w:type="dxa"/>
            <w:right w:w="108" w:type="dxa"/>
          </w:tblCellMar>
        </w:tblPrEx>
        <w:trPr>
          <w:cantSplit/>
          <w:trHeight w:val="414" w:hRule="exact"/>
        </w:trPr>
        <w:tc>
          <w:tcPr>
            <w:tcW w:w="4680" w:type="dxa"/>
            <w:vAlign w:val="center"/>
          </w:tcPr>
          <w:p>
            <w:pPr>
              <w:snapToGrid w:val="0"/>
              <w:jc w:val="left"/>
              <w:rPr>
                <w:rFonts w:ascii="宋体" w:hAnsi="宋体" w:cs="宋体"/>
                <w:color w:val="auto"/>
              </w:rPr>
            </w:pPr>
            <w:r>
              <w:rPr>
                <w:rFonts w:hint="eastAsia" w:ascii="宋体" w:hAnsi="宋体" w:cs="宋体"/>
                <w:color w:val="auto"/>
              </w:rPr>
              <w:t>签订日期：</w:t>
            </w:r>
          </w:p>
        </w:tc>
        <w:tc>
          <w:tcPr>
            <w:tcW w:w="4500" w:type="dxa"/>
            <w:vAlign w:val="center"/>
          </w:tcPr>
          <w:p>
            <w:pPr>
              <w:snapToGrid w:val="0"/>
              <w:jc w:val="left"/>
              <w:rPr>
                <w:rFonts w:ascii="宋体" w:hAnsi="宋体" w:cs="宋体"/>
                <w:color w:val="auto"/>
              </w:rPr>
            </w:pPr>
            <w:r>
              <w:rPr>
                <w:rFonts w:hint="eastAsia" w:ascii="宋体" w:hAnsi="宋体" w:cs="宋体"/>
                <w:color w:val="auto"/>
              </w:rPr>
              <w:t>签订日期：</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地址：</w:t>
            </w:r>
          </w:p>
        </w:tc>
        <w:tc>
          <w:tcPr>
            <w:tcW w:w="4500" w:type="dxa"/>
            <w:vAlign w:val="center"/>
          </w:tcPr>
          <w:p>
            <w:pPr>
              <w:snapToGrid w:val="0"/>
              <w:jc w:val="left"/>
              <w:rPr>
                <w:rFonts w:ascii="宋体" w:hAnsi="宋体" w:cs="宋体"/>
                <w:color w:val="auto"/>
              </w:rPr>
            </w:pPr>
            <w:r>
              <w:rPr>
                <w:rFonts w:hint="eastAsia" w:ascii="宋体" w:hAnsi="宋体" w:cs="宋体"/>
                <w:color w:val="auto"/>
              </w:rPr>
              <w:t>地址：</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邮编：</w:t>
            </w:r>
          </w:p>
        </w:tc>
        <w:tc>
          <w:tcPr>
            <w:tcW w:w="4500" w:type="dxa"/>
            <w:vAlign w:val="center"/>
          </w:tcPr>
          <w:p>
            <w:pPr>
              <w:snapToGrid w:val="0"/>
              <w:jc w:val="left"/>
              <w:rPr>
                <w:rFonts w:ascii="宋体" w:hAnsi="宋体" w:cs="宋体"/>
                <w:color w:val="auto"/>
              </w:rPr>
            </w:pPr>
            <w:r>
              <w:rPr>
                <w:rFonts w:hint="eastAsia" w:ascii="宋体" w:hAnsi="宋体" w:cs="宋体"/>
                <w:color w:val="auto"/>
              </w:rPr>
              <w:t>邮编：</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联系人：</w:t>
            </w:r>
          </w:p>
        </w:tc>
        <w:tc>
          <w:tcPr>
            <w:tcW w:w="4500" w:type="dxa"/>
            <w:vAlign w:val="center"/>
          </w:tcPr>
          <w:p>
            <w:pPr>
              <w:snapToGrid w:val="0"/>
              <w:jc w:val="left"/>
              <w:rPr>
                <w:rFonts w:ascii="宋体" w:hAnsi="宋体" w:cs="宋体"/>
                <w:color w:val="auto"/>
              </w:rPr>
            </w:pPr>
            <w:r>
              <w:rPr>
                <w:rFonts w:hint="eastAsia" w:ascii="宋体" w:hAnsi="宋体" w:cs="宋体"/>
                <w:color w:val="auto"/>
              </w:rPr>
              <w:t>联系人：</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电话：</w:t>
            </w:r>
          </w:p>
        </w:tc>
        <w:tc>
          <w:tcPr>
            <w:tcW w:w="4500" w:type="dxa"/>
            <w:vAlign w:val="center"/>
          </w:tcPr>
          <w:p>
            <w:pPr>
              <w:snapToGrid w:val="0"/>
              <w:jc w:val="left"/>
              <w:rPr>
                <w:rFonts w:ascii="宋体" w:hAnsi="宋体" w:cs="宋体"/>
                <w:color w:val="auto"/>
              </w:rPr>
            </w:pPr>
            <w:r>
              <w:rPr>
                <w:rFonts w:hint="eastAsia" w:ascii="宋体" w:hAnsi="宋体" w:cs="宋体"/>
                <w:color w:val="auto"/>
              </w:rPr>
              <w:t>电话：</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传真：</w:t>
            </w:r>
          </w:p>
        </w:tc>
        <w:tc>
          <w:tcPr>
            <w:tcW w:w="4500" w:type="dxa"/>
            <w:vAlign w:val="center"/>
          </w:tcPr>
          <w:p>
            <w:pPr>
              <w:snapToGrid w:val="0"/>
              <w:jc w:val="left"/>
              <w:rPr>
                <w:rFonts w:ascii="宋体" w:hAnsi="宋体" w:cs="宋体"/>
                <w:color w:val="auto"/>
              </w:rPr>
            </w:pPr>
            <w:r>
              <w:rPr>
                <w:rFonts w:hint="eastAsia" w:ascii="宋体" w:hAnsi="宋体" w:cs="宋体"/>
                <w:color w:val="auto"/>
              </w:rPr>
              <w:t>传真：</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开户银行：</w:t>
            </w:r>
          </w:p>
        </w:tc>
        <w:tc>
          <w:tcPr>
            <w:tcW w:w="4500" w:type="dxa"/>
            <w:vAlign w:val="center"/>
          </w:tcPr>
          <w:p>
            <w:pPr>
              <w:snapToGrid w:val="0"/>
              <w:jc w:val="left"/>
              <w:rPr>
                <w:rFonts w:ascii="宋体" w:hAnsi="宋体" w:cs="宋体"/>
                <w:color w:val="auto"/>
              </w:rPr>
            </w:pPr>
            <w:r>
              <w:rPr>
                <w:rFonts w:hint="eastAsia" w:ascii="宋体" w:hAnsi="宋体" w:cs="宋体"/>
                <w:color w:val="auto"/>
              </w:rPr>
              <w:t xml:space="preserve">开户银行： </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账号：</w:t>
            </w:r>
          </w:p>
        </w:tc>
        <w:tc>
          <w:tcPr>
            <w:tcW w:w="4500" w:type="dxa"/>
            <w:vAlign w:val="center"/>
          </w:tcPr>
          <w:p>
            <w:pPr>
              <w:snapToGrid w:val="0"/>
              <w:jc w:val="left"/>
              <w:rPr>
                <w:rFonts w:ascii="宋体" w:hAnsi="宋体" w:cs="宋体"/>
                <w:color w:val="auto"/>
              </w:rPr>
            </w:pPr>
            <w:r>
              <w:rPr>
                <w:rFonts w:hint="eastAsia" w:ascii="宋体" w:hAnsi="宋体" w:cs="宋体"/>
                <w:color w:val="auto"/>
              </w:rPr>
              <w:t>账号：</w:t>
            </w:r>
          </w:p>
        </w:tc>
      </w:tr>
      <w:tr>
        <w:tblPrEx>
          <w:tblCellMar>
            <w:top w:w="0" w:type="dxa"/>
            <w:left w:w="108" w:type="dxa"/>
            <w:bottom w:w="0" w:type="dxa"/>
            <w:right w:w="108" w:type="dxa"/>
          </w:tblCellMar>
        </w:tblPrEx>
        <w:trPr>
          <w:cantSplit/>
          <w:trHeight w:val="697" w:hRule="exact"/>
        </w:trPr>
        <w:tc>
          <w:tcPr>
            <w:tcW w:w="4680" w:type="dxa"/>
            <w:vAlign w:val="center"/>
          </w:tcPr>
          <w:p>
            <w:pPr>
              <w:snapToGrid w:val="0"/>
              <w:jc w:val="left"/>
              <w:rPr>
                <w:rFonts w:ascii="宋体" w:hAnsi="宋体" w:cs="宋体"/>
                <w:color w:val="auto"/>
              </w:rPr>
            </w:pPr>
            <w:r>
              <w:rPr>
                <w:rFonts w:hint="eastAsia" w:ascii="宋体" w:hAnsi="宋体" w:cs="宋体"/>
                <w:color w:val="auto"/>
              </w:rPr>
              <w:t xml:space="preserve">税号： </w:t>
            </w:r>
          </w:p>
        </w:tc>
        <w:tc>
          <w:tcPr>
            <w:tcW w:w="4500" w:type="dxa"/>
            <w:vAlign w:val="center"/>
          </w:tcPr>
          <w:p>
            <w:pPr>
              <w:snapToGrid w:val="0"/>
              <w:jc w:val="left"/>
              <w:rPr>
                <w:rFonts w:ascii="宋体" w:hAnsi="宋体" w:cs="宋体"/>
                <w:color w:val="auto"/>
              </w:rPr>
            </w:pPr>
            <w:r>
              <w:rPr>
                <w:rFonts w:hint="eastAsia" w:ascii="宋体" w:hAnsi="宋体" w:cs="宋体"/>
                <w:color w:val="auto"/>
              </w:rPr>
              <w:t>税号：</w:t>
            </w:r>
          </w:p>
        </w:tc>
      </w:tr>
    </w:tbl>
    <w:p>
      <w:pPr>
        <w:spacing w:line="360" w:lineRule="auto"/>
        <w:rPr>
          <w:rFonts w:ascii="宋体" w:hAnsi="宋体" w:cs="宋体"/>
          <w:color w:val="auto"/>
        </w:rPr>
      </w:pPr>
    </w:p>
    <w:p>
      <w:pPr>
        <w:spacing w:line="360" w:lineRule="auto"/>
        <w:rPr>
          <w:rFonts w:ascii="宋体" w:hAnsi="宋体" w:cs="宋体"/>
          <w:color w:val="auto"/>
        </w:rPr>
      </w:pPr>
    </w:p>
    <w:p>
      <w:pPr>
        <w:rPr>
          <w:rFonts w:ascii="宋体" w:hAnsi="宋体" w:cs="宋体"/>
          <w:color w:val="auto"/>
          <w:sz w:val="36"/>
          <w:szCs w:val="36"/>
        </w:rPr>
      </w:pPr>
    </w:p>
    <w:p>
      <w:pPr>
        <w:pStyle w:val="2"/>
        <w:pageBreakBefore/>
        <w:spacing w:before="0" w:after="0" w:line="240" w:lineRule="auto"/>
        <w:jc w:val="center"/>
        <w:rPr>
          <w:rFonts w:ascii="宋体" w:hAnsi="宋体"/>
          <w:color w:val="auto"/>
          <w:sz w:val="36"/>
          <w:szCs w:val="36"/>
        </w:rPr>
      </w:pPr>
      <w:bookmarkStart w:id="262" w:name="_Toc25566"/>
      <w:bookmarkStart w:id="263" w:name="_Toc28134"/>
      <w:bookmarkStart w:id="264" w:name="_Toc27361"/>
      <w:bookmarkStart w:id="265" w:name="_Toc24387"/>
      <w:bookmarkStart w:id="266" w:name="_Toc22086"/>
      <w:bookmarkStart w:id="267" w:name="_Toc14014"/>
      <w:r>
        <w:rPr>
          <w:rFonts w:hint="eastAsia" w:ascii="宋体" w:hAnsi="宋体" w:cs="宋体"/>
          <w:color w:val="auto"/>
          <w:sz w:val="36"/>
          <w:szCs w:val="36"/>
        </w:rPr>
        <w:t xml:space="preserve">第四章 </w:t>
      </w:r>
      <w:bookmarkStart w:id="268" w:name="_Toc217446097"/>
      <w:bookmarkStart w:id="269" w:name="_Toc208849007"/>
      <w:bookmarkStart w:id="270" w:name="_Toc183582280"/>
      <w:bookmarkStart w:id="271" w:name="_Toc183682415"/>
      <w:r>
        <w:rPr>
          <w:rFonts w:hint="eastAsia" w:ascii="宋体" w:hAnsi="宋体" w:cs="宋体"/>
          <w:color w:val="auto"/>
          <w:sz w:val="36"/>
          <w:szCs w:val="36"/>
        </w:rPr>
        <w:t>需求情况及要求</w:t>
      </w:r>
      <w:bookmarkEnd w:id="243"/>
      <w:bookmarkEnd w:id="262"/>
      <w:bookmarkEnd w:id="263"/>
      <w:bookmarkEnd w:id="264"/>
      <w:bookmarkEnd w:id="265"/>
      <w:bookmarkEnd w:id="266"/>
      <w:bookmarkEnd w:id="267"/>
    </w:p>
    <w:bookmarkEnd w:id="244"/>
    <w:bookmarkEnd w:id="268"/>
    <w:bookmarkEnd w:id="269"/>
    <w:bookmarkEnd w:id="270"/>
    <w:bookmarkEnd w:id="271"/>
    <w:p>
      <w:pPr>
        <w:tabs>
          <w:tab w:val="left" w:pos="7665"/>
        </w:tabs>
        <w:spacing w:line="360" w:lineRule="auto"/>
        <w:rPr>
          <w:rFonts w:ascii="宋体" w:hAnsi="宋体" w:cs="宋体"/>
          <w:b/>
          <w:bCs/>
          <w:color w:val="auto"/>
          <w:szCs w:val="24"/>
        </w:rPr>
      </w:pPr>
      <w:bookmarkStart w:id="272" w:name="_Toc217446096"/>
    </w:p>
    <w:p>
      <w:pPr>
        <w:pStyle w:val="81"/>
        <w:spacing w:before="100" w:beforeAutospacing="1" w:after="100" w:afterAutospacing="1" w:line="360" w:lineRule="auto"/>
        <w:ind w:left="0" w:firstLine="422" w:firstLineChars="200"/>
        <w:rPr>
          <w:rFonts w:hint="eastAsia" w:ascii="ˎ̥" w:hAnsi="ˎ̥" w:cs="宋体"/>
          <w:color w:val="auto"/>
          <w:sz w:val="21"/>
          <w:szCs w:val="21"/>
          <w:lang w:eastAsia="zh-CN"/>
        </w:rPr>
      </w:pPr>
      <w:bookmarkStart w:id="273" w:name="_Toc476065834"/>
      <w:bookmarkStart w:id="274" w:name="_Toc217446081"/>
      <w:r>
        <w:rPr>
          <w:rFonts w:hint="eastAsia" w:ascii="ˎ̥" w:hAnsi="ˎ̥" w:cs="宋体"/>
          <w:b/>
          <w:bCs/>
          <w:color w:val="auto"/>
          <w:sz w:val="21"/>
          <w:szCs w:val="21"/>
          <w:lang w:eastAsia="zh-CN"/>
        </w:rPr>
        <w:t>一、委托内容</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1. 教育督导工作案例征集、评选</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组织、协调各区教育督导工作案例收集、评选等组织协调工作。</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积极联系各区督导工作相关负责人，按照工作时间安排协助收集工作案例，整理分类。</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协助北京市教委督学处聘请专家开展工作案例评选工作，并参与评选组织、服务及相关评分、监督工作，确保评选过程有序开展，保障评选公开、透明。</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在评选工作之初和评审工作结束后，组织召开宣传总结会，对相关工作进行推介与宣传报道。</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对获选工作案例进行图书出版工作，主要包括：工作案例的筛选整理、编辑校对、审阅分类、文字及图片处理工作。</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对整体工作案例评选及相关工作进行全程报道，选派多名经验丰富的采编人员，通过特别策划、专题报道等形式，扩大活动影响力，树立督导工作团队在首都教育领域的整体形象。</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2. “督学之星”评选展示</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从督学中评选“督学之星”约25人，充分发挥不同类型媒体的传播优势，结合当前全媒体发展态势，通过宣传片的形式进行全方位宣传展示与媒体推广。</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主要包括：拍摄人物宣传视频，进行制作、配音、剪辑与包装；安排记者进行人物专访并撰写文字报道；通过相关市、区媒体渠道及宣传平台，广泛发布活动及展示信息，扩大影响力；在公交、地铁等公共区域播放视频宣传片，对“督学之星”进行展示。</w:t>
      </w:r>
    </w:p>
    <w:p>
      <w:pPr>
        <w:pStyle w:val="81"/>
        <w:spacing w:before="100" w:beforeAutospacing="1" w:after="100" w:afterAutospacing="1" w:line="360" w:lineRule="auto"/>
        <w:ind w:left="0" w:firstLine="422" w:firstLineChars="200"/>
        <w:rPr>
          <w:rFonts w:hint="eastAsia" w:ascii="ˎ̥" w:hAnsi="ˎ̥" w:cs="宋体"/>
          <w:color w:val="auto"/>
          <w:sz w:val="21"/>
          <w:szCs w:val="21"/>
          <w:lang w:eastAsia="zh-CN"/>
        </w:rPr>
      </w:pPr>
      <w:r>
        <w:rPr>
          <w:rFonts w:hint="eastAsia" w:ascii="ˎ̥" w:hAnsi="ˎ̥" w:cs="宋体"/>
          <w:b/>
          <w:bCs/>
          <w:color w:val="auto"/>
          <w:sz w:val="21"/>
          <w:szCs w:val="21"/>
          <w:lang w:eastAsia="zh-CN"/>
        </w:rPr>
        <w:t>二、委托要求</w:t>
      </w:r>
    </w:p>
    <w:p>
      <w:pPr>
        <w:pStyle w:val="81"/>
        <w:numPr>
          <w:ilvl w:val="0"/>
          <w:numId w:val="4"/>
        </w:numPr>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 xml:space="preserve"> 建立完整的工作管理、监督、考核评价体系及应急预案</w:t>
      </w:r>
    </w:p>
    <w:p>
      <w:pPr>
        <w:pStyle w:val="81"/>
        <w:numPr>
          <w:ilvl w:val="255"/>
          <w:numId w:val="0"/>
        </w:numPr>
        <w:spacing w:before="100" w:beforeAutospacing="1" w:after="100" w:afterAutospacing="1" w:line="360" w:lineRule="auto"/>
        <w:ind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定期召开相关工作沟通协调会，确保工作有序开展，保障参与项目的工作人员清晰工作内容，明确工作目标，提高工作效率。</w:t>
      </w:r>
    </w:p>
    <w:p>
      <w:pPr>
        <w:pStyle w:val="81"/>
        <w:numPr>
          <w:ilvl w:val="0"/>
          <w:numId w:val="4"/>
        </w:numPr>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 xml:space="preserve"> 建立监督机制</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制定合理的工作机制，督导案例评选工作中定期与甲方沟通，收集反馈意见，对工作中存在的问题、不足和需要改进、提高之处加以整改。</w:t>
      </w:r>
    </w:p>
    <w:p>
      <w:pPr>
        <w:pStyle w:val="81"/>
        <w:numPr>
          <w:ilvl w:val="0"/>
          <w:numId w:val="4"/>
        </w:numPr>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 xml:space="preserve"> 建立应急机制</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在工作环节中如出现突发事件，突发问题应做出及时、正确的应对和解决，并及时向甲方进行汇报。</w:t>
      </w:r>
    </w:p>
    <w:p>
      <w:pPr>
        <w:pStyle w:val="81"/>
        <w:numPr>
          <w:ilvl w:val="0"/>
          <w:numId w:val="4"/>
        </w:numPr>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 xml:space="preserve"> 定岗定责</w:t>
      </w:r>
    </w:p>
    <w:p>
      <w:pPr>
        <w:pStyle w:val="81"/>
        <w:numPr>
          <w:ilvl w:val="255"/>
          <w:numId w:val="0"/>
        </w:numPr>
        <w:spacing w:before="100" w:beforeAutospacing="1" w:after="100" w:afterAutospacing="1" w:line="360" w:lineRule="auto"/>
        <w:ind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明确岗位职责，制定明确的工作规范和工作流程，提供合理的全职专业人员开展工作，要求相关人员应具有不少于3年的工作经验；工作人员具有从事相关工作的经验；特定岗位工作人员须有从事该岗位的职业从业资格。安排专人对接招标方,随时提供服务支持,负责与招标方联络、沟通、协调具体工作等事宜。</w:t>
      </w:r>
    </w:p>
    <w:p>
      <w:pPr>
        <w:pStyle w:val="81"/>
        <w:numPr>
          <w:ilvl w:val="0"/>
          <w:numId w:val="5"/>
        </w:numPr>
        <w:spacing w:before="100" w:beforeAutospacing="1" w:after="100" w:afterAutospacing="1" w:line="360" w:lineRule="auto"/>
        <w:ind w:left="0" w:firstLine="422" w:firstLineChars="200"/>
        <w:rPr>
          <w:rFonts w:hint="eastAsia" w:ascii="ˎ̥" w:hAnsi="ˎ̥" w:cs="宋体"/>
          <w:b/>
          <w:bCs/>
          <w:color w:val="auto"/>
          <w:sz w:val="21"/>
          <w:szCs w:val="21"/>
          <w:lang w:eastAsia="zh-CN"/>
        </w:rPr>
      </w:pPr>
      <w:r>
        <w:rPr>
          <w:rFonts w:hint="eastAsia" w:ascii="ˎ̥" w:hAnsi="ˎ̥" w:cs="宋体"/>
          <w:b/>
          <w:bCs/>
          <w:color w:val="auto"/>
          <w:sz w:val="21"/>
          <w:szCs w:val="21"/>
          <w:lang w:eastAsia="zh-CN"/>
        </w:rPr>
        <w:t>版权归属</w:t>
      </w:r>
    </w:p>
    <w:p>
      <w:pPr>
        <w:pStyle w:val="81"/>
        <w:spacing w:before="100" w:beforeAutospacing="1" w:after="100" w:afterAutospacing="1" w:line="360" w:lineRule="auto"/>
        <w:ind w:left="0"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“督导之星”展示活动所涉及新闻及相关内容版权归北京市教委所有，工作案例评选工作相关文章版权归作者和组委会所有。</w:t>
      </w:r>
    </w:p>
    <w:p>
      <w:pPr>
        <w:pStyle w:val="81"/>
        <w:numPr>
          <w:ilvl w:val="0"/>
          <w:numId w:val="6"/>
        </w:numPr>
        <w:spacing w:before="100" w:beforeAutospacing="1" w:after="100" w:afterAutospacing="1" w:line="360" w:lineRule="auto"/>
        <w:ind w:left="0" w:firstLine="422" w:firstLineChars="200"/>
        <w:rPr>
          <w:rFonts w:hint="eastAsia" w:ascii="ˎ̥" w:hAnsi="ˎ̥" w:cs="宋体"/>
          <w:color w:val="auto"/>
          <w:sz w:val="21"/>
          <w:szCs w:val="21"/>
          <w:lang w:eastAsia="zh-CN"/>
        </w:rPr>
      </w:pPr>
      <w:r>
        <w:rPr>
          <w:rFonts w:hint="eastAsia" w:ascii="ˎ̥" w:hAnsi="ˎ̥" w:cs="宋体"/>
          <w:b/>
          <w:bCs/>
          <w:color w:val="auto"/>
          <w:sz w:val="21"/>
          <w:szCs w:val="21"/>
          <w:lang w:eastAsia="zh-CN"/>
        </w:rPr>
        <w:t>项目交流活动资金安排</w:t>
      </w:r>
    </w:p>
    <w:p>
      <w:pPr>
        <w:pStyle w:val="81"/>
        <w:numPr>
          <w:ilvl w:val="255"/>
          <w:numId w:val="0"/>
        </w:numPr>
        <w:spacing w:before="100" w:beforeAutospacing="1" w:after="100" w:afterAutospacing="1" w:line="360" w:lineRule="auto"/>
        <w:ind w:left="420" w:leftChars="200"/>
        <w:rPr>
          <w:rFonts w:hint="eastAsia" w:ascii="ˎ̥" w:hAnsi="ˎ̥" w:cs="宋体"/>
          <w:color w:val="auto"/>
          <w:sz w:val="21"/>
          <w:szCs w:val="21"/>
          <w:lang w:eastAsia="zh-CN"/>
        </w:rPr>
      </w:pPr>
      <w:r>
        <w:rPr>
          <w:rFonts w:hint="eastAsia" w:ascii="ˎ̥" w:hAnsi="ˎ̥" w:cs="宋体"/>
          <w:color w:val="auto"/>
          <w:sz w:val="21"/>
          <w:szCs w:val="21"/>
          <w:lang w:eastAsia="zh-CN"/>
        </w:rPr>
        <w:t>1. 工作案例评选与推介活动</w:t>
      </w:r>
    </w:p>
    <w:p>
      <w:pPr>
        <w:pStyle w:val="81"/>
        <w:numPr>
          <w:ilvl w:val="255"/>
          <w:numId w:val="0"/>
        </w:numPr>
        <w:spacing w:before="100" w:beforeAutospacing="1" w:after="100" w:afterAutospacing="1" w:line="360" w:lineRule="auto"/>
        <w:ind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含督导案例评审费、举办工作案例评选颁奖展示大会、书籍内容制作、书籍设计制作、稿费、成果宣传费等。</w:t>
      </w:r>
    </w:p>
    <w:p>
      <w:pPr>
        <w:pStyle w:val="81"/>
        <w:numPr>
          <w:ilvl w:val="255"/>
          <w:numId w:val="0"/>
        </w:numPr>
        <w:spacing w:before="100" w:beforeAutospacing="1" w:after="100" w:afterAutospacing="1" w:line="360" w:lineRule="auto"/>
        <w:ind w:firstLine="420" w:firstLineChars="200"/>
        <w:rPr>
          <w:rFonts w:hint="eastAsia" w:ascii="ˎ̥" w:hAnsi="ˎ̥" w:cs="宋体"/>
          <w:color w:val="auto"/>
          <w:sz w:val="21"/>
          <w:szCs w:val="21"/>
          <w:lang w:eastAsia="zh-CN"/>
        </w:rPr>
      </w:pPr>
      <w:r>
        <w:rPr>
          <w:rFonts w:hint="eastAsia" w:ascii="ˎ̥" w:hAnsi="ˎ̥" w:cs="宋体"/>
          <w:color w:val="auto"/>
          <w:sz w:val="21"/>
          <w:szCs w:val="21"/>
          <w:lang w:eastAsia="zh-CN"/>
        </w:rPr>
        <w:t>2. “督学之星”评选展示</w:t>
      </w:r>
    </w:p>
    <w:p>
      <w:pPr>
        <w:pStyle w:val="81"/>
        <w:numPr>
          <w:ilvl w:val="255"/>
          <w:numId w:val="0"/>
        </w:numPr>
        <w:spacing w:before="100" w:beforeAutospacing="1" w:after="100" w:afterAutospacing="1" w:line="360" w:lineRule="auto"/>
        <w:ind w:firstLine="420" w:firstLineChars="200"/>
        <w:rPr>
          <w:rFonts w:hint="eastAsia" w:ascii="ˎ̥" w:hAnsi="ˎ̥" w:cs="宋体"/>
          <w:color w:val="auto"/>
          <w:sz w:val="24"/>
          <w:szCs w:val="24"/>
          <w:lang w:eastAsia="zh-CN"/>
        </w:rPr>
      </w:pPr>
      <w:r>
        <w:rPr>
          <w:rFonts w:hint="eastAsia" w:ascii="ˎ̥" w:hAnsi="ˎ̥" w:cs="宋体"/>
          <w:color w:val="auto"/>
          <w:sz w:val="21"/>
          <w:szCs w:val="21"/>
          <w:lang w:eastAsia="zh-CN"/>
        </w:rPr>
        <w:t>含项目劳务费、专题制作费（包括配音、编辑包装、文案策划、器材、交通、劳务等费用）、稿件采写编校费、成果宣传费等。</w:t>
      </w:r>
      <w:r>
        <w:rPr>
          <w:rFonts w:ascii="ˎ̥" w:hAnsi="ˎ̥" w:cs="宋体"/>
          <w:color w:val="auto"/>
          <w:sz w:val="21"/>
          <w:szCs w:val="21"/>
          <w:lang w:eastAsia="zh-CN"/>
        </w:rPr>
        <w:t>　</w:t>
      </w:r>
      <w:r>
        <w:rPr>
          <w:rFonts w:ascii="ˎ̥" w:hAnsi="ˎ̥" w:cs="宋体"/>
          <w:color w:val="auto"/>
          <w:sz w:val="24"/>
          <w:szCs w:val="24"/>
          <w:lang w:eastAsia="zh-CN"/>
        </w:rPr>
        <w:t>　</w:t>
      </w:r>
    </w:p>
    <w:p>
      <w:pPr>
        <w:numPr>
          <w:ilvl w:val="0"/>
          <w:numId w:val="6"/>
        </w:numPr>
        <w:spacing w:line="360" w:lineRule="auto"/>
        <w:ind w:firstLine="480" w:firstLineChars="200"/>
        <w:rPr>
          <w:rFonts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合同履行期限</w:t>
      </w:r>
    </w:p>
    <w:p>
      <w:pPr>
        <w:numPr>
          <w:ilvl w:val="255"/>
          <w:numId w:val="0"/>
        </w:numPr>
        <w:spacing w:line="360" w:lineRule="auto"/>
        <w:ind w:left="420" w:leftChars="200"/>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lang w:bidi="ar"/>
        </w:rPr>
        <w:t>自合同签订之日起至2020年11月20日之前完成。</w:t>
      </w:r>
    </w:p>
    <w:p>
      <w:pPr>
        <w:pStyle w:val="81"/>
        <w:numPr>
          <w:ilvl w:val="255"/>
          <w:numId w:val="0"/>
        </w:numPr>
        <w:spacing w:before="100" w:beforeAutospacing="1" w:after="100" w:afterAutospacing="1" w:line="360" w:lineRule="auto"/>
        <w:ind w:firstLine="480" w:firstLineChars="200"/>
        <w:rPr>
          <w:rFonts w:hint="eastAsia" w:ascii="ˎ̥" w:hAnsi="ˎ̥" w:cs="宋体"/>
          <w:color w:val="auto"/>
          <w:sz w:val="24"/>
          <w:szCs w:val="24"/>
          <w:lang w:eastAsia="zh-CN"/>
        </w:rPr>
      </w:pPr>
    </w:p>
    <w:p>
      <w:pPr>
        <w:spacing w:line="360" w:lineRule="auto"/>
        <w:ind w:firstLine="105" w:firstLineChars="50"/>
        <w:rPr>
          <w:rFonts w:ascii="宋体" w:hAnsi="宋体"/>
          <w:color w:val="auto"/>
          <w:sz w:val="18"/>
        </w:rPr>
      </w:pPr>
      <w:r>
        <w:rPr>
          <w:rFonts w:ascii="ˎ̥" w:hAnsi="ˎ̥" w:cs="宋体"/>
          <w:color w:val="auto"/>
          <w:szCs w:val="24"/>
        </w:rPr>
        <w:t>　　</w:t>
      </w:r>
    </w:p>
    <w:p>
      <w:pPr>
        <w:pStyle w:val="2"/>
        <w:pageBreakBefore/>
        <w:spacing w:before="0" w:after="0" w:line="240" w:lineRule="auto"/>
        <w:jc w:val="center"/>
        <w:rPr>
          <w:rFonts w:ascii="宋体" w:hAnsi="宋体"/>
          <w:color w:val="auto"/>
          <w:sz w:val="36"/>
          <w:szCs w:val="36"/>
        </w:rPr>
      </w:pPr>
      <w:bookmarkStart w:id="275" w:name="_Toc21021"/>
      <w:bookmarkStart w:id="276" w:name="_Toc13287"/>
      <w:bookmarkStart w:id="277" w:name="_Toc21621"/>
      <w:bookmarkStart w:id="278" w:name="_Toc6274"/>
      <w:bookmarkStart w:id="279" w:name="_Toc19727"/>
      <w:bookmarkStart w:id="280" w:name="_Toc5850"/>
      <w:r>
        <w:rPr>
          <w:rFonts w:hint="eastAsia" w:ascii="宋体" w:hAnsi="宋体" w:cs="宋体"/>
          <w:color w:val="auto"/>
          <w:sz w:val="36"/>
          <w:szCs w:val="36"/>
        </w:rPr>
        <w:t>第五章 响应文件格式</w:t>
      </w:r>
      <w:bookmarkEnd w:id="273"/>
      <w:bookmarkEnd w:id="274"/>
      <w:bookmarkEnd w:id="275"/>
      <w:bookmarkEnd w:id="276"/>
      <w:bookmarkEnd w:id="277"/>
      <w:bookmarkEnd w:id="278"/>
      <w:bookmarkEnd w:id="279"/>
      <w:bookmarkEnd w:id="280"/>
      <w:bookmarkStart w:id="281" w:name="_Toc262396935"/>
      <w:bookmarkStart w:id="282" w:name="_Toc217446083"/>
      <w:bookmarkStart w:id="283" w:name="_Toc309312991"/>
    </w:p>
    <w:p>
      <w:pPr>
        <w:pStyle w:val="3"/>
        <w:spacing w:before="0" w:after="0" w:line="360" w:lineRule="auto"/>
        <w:jc w:val="center"/>
        <w:outlineLvl w:val="9"/>
        <w:rPr>
          <w:rFonts w:ascii="宋体" w:hAnsi="宋体" w:eastAsia="宋体" w:cs="黑体"/>
          <w:color w:val="auto"/>
        </w:rPr>
      </w:pPr>
    </w:p>
    <w:bookmarkEnd w:id="281"/>
    <w:bookmarkEnd w:id="282"/>
    <w:bookmarkEnd w:id="283"/>
    <w:p>
      <w:pPr>
        <w:rPr>
          <w:rFonts w:ascii="宋体" w:hAnsi="宋体" w:cs="宋体"/>
          <w:color w:val="auto"/>
          <w:sz w:val="36"/>
          <w:szCs w:val="36"/>
        </w:rPr>
      </w:pPr>
      <w:bookmarkStart w:id="284" w:name="_Toc476065842"/>
      <w:bookmarkStart w:id="285" w:name="_Toc217446090"/>
      <w:bookmarkStart w:id="286" w:name="_Toc262396942"/>
      <w:r>
        <w:rPr>
          <w:rFonts w:hint="eastAsia" w:ascii="宋体" w:hAnsi="宋体" w:cs="宋体"/>
          <w:color w:val="auto"/>
          <w:sz w:val="36"/>
          <w:szCs w:val="36"/>
        </w:rPr>
        <w:br w:type="page"/>
      </w:r>
    </w:p>
    <w:p>
      <w:pPr>
        <w:pStyle w:val="3"/>
        <w:rPr>
          <w:rFonts w:ascii="宋体" w:hAnsi="宋体"/>
          <w:color w:val="auto"/>
          <w:szCs w:val="21"/>
        </w:rPr>
      </w:pPr>
      <w:bookmarkStart w:id="287" w:name="_Toc27064306"/>
      <w:bookmarkStart w:id="288" w:name="_Toc27061996"/>
      <w:bookmarkStart w:id="289" w:name="_Toc19230"/>
      <w:bookmarkStart w:id="290" w:name="_Toc22926"/>
      <w:r>
        <w:rPr>
          <w:rFonts w:hint="eastAsia" w:ascii="宋体" w:hAnsi="宋体" w:eastAsia="宋体"/>
          <w:color w:val="auto"/>
          <w:sz w:val="21"/>
          <w:szCs w:val="21"/>
        </w:rPr>
        <w:t>附件1 磋商申请函</w:t>
      </w:r>
      <w:bookmarkEnd w:id="287"/>
      <w:bookmarkEnd w:id="288"/>
      <w:bookmarkEnd w:id="289"/>
      <w:bookmarkEnd w:id="290"/>
    </w:p>
    <w:p>
      <w:pPr>
        <w:spacing w:line="360" w:lineRule="auto"/>
        <w:rPr>
          <w:rFonts w:ascii="宋体" w:hAnsi="宋体"/>
          <w:color w:val="auto"/>
        </w:rPr>
      </w:pPr>
      <w:r>
        <w:rPr>
          <w:rFonts w:hint="eastAsia" w:ascii="宋体" w:hAnsi="宋体"/>
          <w:color w:val="auto"/>
        </w:rPr>
        <w:t>北京北咨工程咨询有限公司：</w:t>
      </w:r>
    </w:p>
    <w:p>
      <w:pPr>
        <w:spacing w:line="360" w:lineRule="auto"/>
        <w:rPr>
          <w:rFonts w:ascii="宋体" w:hAnsi="宋体"/>
          <w:color w:val="auto"/>
        </w:rPr>
      </w:pPr>
      <w:r>
        <w:rPr>
          <w:rFonts w:hint="eastAsia" w:ascii="宋体" w:hAnsi="宋体"/>
          <w:color w:val="auto"/>
        </w:rPr>
        <w:t>（投标单位全称）授权（授权代表名称）（职务、职称）为授权代表，参加贵方组织的（项目编号、项目名称）投标的有关活动，并对此项目进行申请。为此：</w:t>
      </w:r>
    </w:p>
    <w:p>
      <w:pPr>
        <w:spacing w:line="360" w:lineRule="auto"/>
        <w:rPr>
          <w:rFonts w:ascii="宋体" w:hAnsi="宋体"/>
          <w:color w:val="auto"/>
        </w:rPr>
      </w:pPr>
      <w:r>
        <w:rPr>
          <w:rFonts w:hint="eastAsia" w:ascii="宋体" w:hAnsi="宋体"/>
          <w:color w:val="auto"/>
        </w:rPr>
        <w:t>1、提供投标须知规定的全部响应文件：正本1份，副本2份，电子版1套，并承诺响应文件(正本复印扫描件)电子版内容与纸质文件内容的一致性，并对此承担全部法律责任。</w:t>
      </w:r>
    </w:p>
    <w:p>
      <w:pPr>
        <w:spacing w:line="360" w:lineRule="auto"/>
        <w:rPr>
          <w:rFonts w:ascii="宋体" w:hAnsi="宋体"/>
          <w:color w:val="auto"/>
        </w:rPr>
      </w:pPr>
      <w:r>
        <w:rPr>
          <w:rFonts w:hint="eastAsia" w:ascii="宋体" w:hAnsi="宋体"/>
          <w:color w:val="auto"/>
        </w:rPr>
        <w:t>2、供应商将按照磋商文件的规定承担责任和履行义务。</w:t>
      </w:r>
    </w:p>
    <w:p>
      <w:pPr>
        <w:spacing w:line="360" w:lineRule="auto"/>
        <w:rPr>
          <w:rFonts w:ascii="宋体" w:hAnsi="宋体"/>
          <w:color w:val="auto"/>
        </w:rPr>
      </w:pPr>
      <w:r>
        <w:rPr>
          <w:rFonts w:hint="eastAsia" w:ascii="宋体" w:hAnsi="宋体"/>
          <w:color w:val="auto"/>
        </w:rPr>
        <w:t>3、供应商已详细审查全部响应文件，包括修改文件（如有的话）以及全部参考资料和有关附件。我们完全理解并同意放弃对这方面有不明误解的权利。</w:t>
      </w:r>
    </w:p>
    <w:p>
      <w:pPr>
        <w:spacing w:line="360" w:lineRule="auto"/>
        <w:rPr>
          <w:rFonts w:ascii="宋体" w:hAnsi="宋体"/>
          <w:color w:val="auto"/>
        </w:rPr>
      </w:pPr>
      <w:r>
        <w:rPr>
          <w:rFonts w:hint="eastAsia" w:ascii="宋体" w:hAnsi="宋体"/>
          <w:color w:val="auto"/>
        </w:rPr>
        <w:t>4、其响应文件自从递交截止之日起有效期为60个日历日。</w:t>
      </w:r>
    </w:p>
    <w:p>
      <w:pPr>
        <w:spacing w:line="360" w:lineRule="auto"/>
        <w:rPr>
          <w:rFonts w:ascii="宋体" w:hAnsi="宋体"/>
          <w:color w:val="auto"/>
        </w:rPr>
      </w:pPr>
      <w:r>
        <w:rPr>
          <w:rFonts w:hint="eastAsia" w:ascii="宋体" w:hAnsi="宋体"/>
          <w:color w:val="auto"/>
        </w:rPr>
        <w:t>5、成交供应商同意提供按照贵方可能要求的与其响应文件有关的一切数据或资料，完全理解贵方不一定要接受最低费率的投标或收到的任何投标。</w:t>
      </w:r>
    </w:p>
    <w:p>
      <w:pPr>
        <w:spacing w:line="360" w:lineRule="auto"/>
        <w:rPr>
          <w:rFonts w:ascii="宋体" w:hAnsi="宋体"/>
          <w:color w:val="auto"/>
        </w:rPr>
      </w:pPr>
      <w:r>
        <w:rPr>
          <w:rFonts w:hint="eastAsia" w:ascii="宋体" w:hAnsi="宋体"/>
          <w:color w:val="auto"/>
        </w:rPr>
        <w:t>6、与本响应文件有关的一切正式往来通讯请寄：</w:t>
      </w:r>
    </w:p>
    <w:p>
      <w:pPr>
        <w:spacing w:line="360" w:lineRule="auto"/>
        <w:rPr>
          <w:rFonts w:ascii="宋体" w:hAnsi="宋体"/>
          <w:color w:val="auto"/>
        </w:rPr>
      </w:pPr>
      <w:r>
        <w:rPr>
          <w:rFonts w:hint="eastAsia" w:ascii="宋体" w:hAnsi="宋体"/>
          <w:color w:val="auto"/>
        </w:rPr>
        <w:t>地址：</w:t>
      </w:r>
    </w:p>
    <w:p>
      <w:pPr>
        <w:spacing w:line="360" w:lineRule="auto"/>
        <w:rPr>
          <w:rFonts w:ascii="宋体" w:hAnsi="宋体"/>
          <w:color w:val="auto"/>
        </w:rPr>
      </w:pPr>
      <w:r>
        <w:rPr>
          <w:rFonts w:hint="eastAsia" w:ascii="宋体" w:hAnsi="宋体"/>
          <w:color w:val="auto"/>
        </w:rPr>
        <w:t>邮编：</w:t>
      </w:r>
    </w:p>
    <w:p>
      <w:pPr>
        <w:spacing w:line="360" w:lineRule="auto"/>
        <w:rPr>
          <w:rFonts w:ascii="宋体" w:hAnsi="宋体"/>
          <w:color w:val="auto"/>
        </w:rPr>
      </w:pPr>
      <w:r>
        <w:rPr>
          <w:rFonts w:hint="eastAsia" w:ascii="宋体" w:hAnsi="宋体"/>
          <w:color w:val="auto"/>
        </w:rPr>
        <w:t>电话：</w:t>
      </w:r>
    </w:p>
    <w:p>
      <w:pPr>
        <w:spacing w:line="360" w:lineRule="auto"/>
        <w:rPr>
          <w:rFonts w:ascii="宋体" w:hAnsi="宋体"/>
          <w:color w:val="auto"/>
        </w:rPr>
      </w:pPr>
      <w:r>
        <w:rPr>
          <w:rFonts w:hint="eastAsia" w:ascii="宋体" w:hAnsi="宋体"/>
          <w:color w:val="auto"/>
        </w:rPr>
        <w:t>传真：</w:t>
      </w:r>
    </w:p>
    <w:p>
      <w:pPr>
        <w:spacing w:line="360" w:lineRule="auto"/>
        <w:rPr>
          <w:rFonts w:ascii="宋体" w:hAnsi="宋体"/>
          <w:color w:val="auto"/>
        </w:rPr>
      </w:pPr>
      <w:r>
        <w:rPr>
          <w:rFonts w:hint="eastAsia" w:ascii="宋体" w:hAnsi="宋体"/>
          <w:color w:val="auto"/>
        </w:rPr>
        <w:t>供应商授权代表姓名、职务（印刷体）：</w:t>
      </w:r>
    </w:p>
    <w:p>
      <w:pPr>
        <w:spacing w:line="360" w:lineRule="auto"/>
        <w:rPr>
          <w:rFonts w:ascii="宋体" w:hAnsi="宋体"/>
          <w:color w:val="auto"/>
        </w:rPr>
      </w:pPr>
      <w:r>
        <w:rPr>
          <w:rFonts w:hint="eastAsia" w:ascii="宋体" w:hAnsi="宋体"/>
          <w:color w:val="auto"/>
        </w:rPr>
        <w:t>授权代表签字：</w:t>
      </w:r>
    </w:p>
    <w:p>
      <w:pPr>
        <w:spacing w:line="360" w:lineRule="auto"/>
        <w:rPr>
          <w:rFonts w:ascii="宋体" w:hAnsi="宋体"/>
          <w:color w:val="auto"/>
        </w:rPr>
      </w:pPr>
      <w:r>
        <w:rPr>
          <w:rFonts w:hint="eastAsia" w:ascii="宋体" w:hAnsi="宋体"/>
          <w:color w:val="auto"/>
        </w:rPr>
        <w:t>供应商名称  （公章）</w:t>
      </w:r>
    </w:p>
    <w:p>
      <w:pPr>
        <w:spacing w:line="360" w:lineRule="auto"/>
        <w:rPr>
          <w:rFonts w:ascii="宋体" w:hAnsi="宋体"/>
          <w:color w:val="auto"/>
        </w:rPr>
      </w:pPr>
      <w:r>
        <w:rPr>
          <w:rFonts w:hint="eastAsia" w:ascii="宋体" w:hAnsi="宋体"/>
          <w:color w:val="auto"/>
        </w:rPr>
        <w:t>日期：   年    月    日</w:t>
      </w:r>
    </w:p>
    <w:p>
      <w:pPr>
        <w:spacing w:line="360" w:lineRule="auto"/>
        <w:rPr>
          <w:rFonts w:ascii="宋体" w:hAnsi="宋体"/>
          <w:color w:val="auto"/>
        </w:rPr>
      </w:pPr>
    </w:p>
    <w:p>
      <w:pPr>
        <w:spacing w:line="360" w:lineRule="auto"/>
        <w:rPr>
          <w:rFonts w:ascii="宋体" w:hAnsi="宋体"/>
          <w:color w:val="auto"/>
        </w:rPr>
      </w:pPr>
    </w:p>
    <w:p>
      <w:pPr>
        <w:pStyle w:val="3"/>
        <w:pageBreakBefore/>
        <w:rPr>
          <w:rFonts w:ascii="宋体" w:hAnsi="宋体" w:eastAsia="宋体"/>
          <w:color w:val="auto"/>
          <w:sz w:val="21"/>
          <w:szCs w:val="21"/>
        </w:rPr>
      </w:pPr>
      <w:bookmarkStart w:id="291" w:name="_Toc27061997"/>
      <w:bookmarkStart w:id="292" w:name="_Toc27064307"/>
      <w:bookmarkStart w:id="293" w:name="_Toc20688"/>
      <w:bookmarkStart w:id="294" w:name="_Toc21045"/>
      <w:r>
        <w:rPr>
          <w:rFonts w:hint="eastAsia" w:ascii="宋体" w:hAnsi="宋体" w:eastAsia="宋体"/>
          <w:color w:val="auto"/>
          <w:sz w:val="21"/>
          <w:szCs w:val="21"/>
        </w:rPr>
        <w:t>附件2 磋商一览表（格式）</w:t>
      </w:r>
      <w:bookmarkEnd w:id="291"/>
      <w:bookmarkEnd w:id="292"/>
      <w:bookmarkEnd w:id="293"/>
      <w:bookmarkEnd w:id="294"/>
    </w:p>
    <w:p>
      <w:pPr>
        <w:spacing w:line="360" w:lineRule="auto"/>
        <w:rPr>
          <w:rFonts w:ascii="宋体" w:hAnsi="宋体"/>
          <w:b/>
          <w:color w:val="auto"/>
        </w:rPr>
      </w:pPr>
    </w:p>
    <w:p>
      <w:pPr>
        <w:tabs>
          <w:tab w:val="left" w:pos="1800"/>
          <w:tab w:val="left" w:pos="5580"/>
        </w:tabs>
        <w:spacing w:line="360" w:lineRule="auto"/>
        <w:rPr>
          <w:rFonts w:ascii="宋体" w:hAnsi="宋体"/>
          <w:b/>
          <w:color w:val="auto"/>
        </w:rPr>
      </w:pPr>
      <w:r>
        <w:rPr>
          <w:rFonts w:hint="eastAsia" w:ascii="宋体" w:hAnsi="宋体"/>
          <w:b/>
          <w:color w:val="auto"/>
        </w:rPr>
        <w:t>项目编号：</w:t>
      </w:r>
    </w:p>
    <w:p>
      <w:pPr>
        <w:tabs>
          <w:tab w:val="left" w:pos="1800"/>
          <w:tab w:val="left" w:pos="5580"/>
        </w:tabs>
        <w:spacing w:line="360" w:lineRule="auto"/>
        <w:rPr>
          <w:rFonts w:ascii="宋体" w:hAnsi="宋体"/>
          <w:b/>
          <w:color w:val="auto"/>
        </w:rPr>
      </w:pPr>
      <w:r>
        <w:rPr>
          <w:rFonts w:hint="eastAsia" w:ascii="宋体" w:hAnsi="宋体"/>
          <w:b/>
          <w:color w:val="auto"/>
        </w:rPr>
        <w:t>项目名称：</w:t>
      </w:r>
    </w:p>
    <w:tbl>
      <w:tblPr>
        <w:tblStyle w:val="36"/>
        <w:tblW w:w="9496" w:type="dxa"/>
        <w:tblInd w:w="-2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3236"/>
        <w:gridCol w:w="1918"/>
        <w:gridCol w:w="2640"/>
        <w:gridCol w:w="17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1" w:hRule="atLeast"/>
        </w:trPr>
        <w:tc>
          <w:tcPr>
            <w:tcW w:w="3236" w:type="dxa"/>
            <w:vAlign w:val="center"/>
          </w:tcPr>
          <w:p>
            <w:pPr>
              <w:tabs>
                <w:tab w:val="left" w:pos="5580"/>
              </w:tabs>
              <w:spacing w:line="360" w:lineRule="auto"/>
              <w:jc w:val="center"/>
              <w:rPr>
                <w:rFonts w:ascii="宋体" w:hAnsi="宋体"/>
                <w:b/>
                <w:color w:val="auto"/>
              </w:rPr>
            </w:pPr>
            <w:r>
              <w:rPr>
                <w:rFonts w:hint="eastAsia" w:ascii="宋体" w:hAnsi="宋体"/>
                <w:b/>
                <w:color w:val="auto"/>
              </w:rPr>
              <w:t>服务项目</w:t>
            </w:r>
          </w:p>
        </w:tc>
        <w:tc>
          <w:tcPr>
            <w:tcW w:w="1918" w:type="dxa"/>
            <w:vAlign w:val="center"/>
          </w:tcPr>
          <w:p>
            <w:pPr>
              <w:tabs>
                <w:tab w:val="left" w:pos="5580"/>
              </w:tabs>
              <w:spacing w:line="360" w:lineRule="auto"/>
              <w:jc w:val="center"/>
              <w:rPr>
                <w:rFonts w:ascii="宋体" w:hAnsi="宋体"/>
                <w:b/>
                <w:color w:val="auto"/>
              </w:rPr>
            </w:pPr>
            <w:r>
              <w:rPr>
                <w:rFonts w:hint="eastAsia" w:ascii="宋体" w:hAnsi="宋体"/>
                <w:b/>
                <w:color w:val="auto"/>
              </w:rPr>
              <w:t>磋商报价</w:t>
            </w:r>
          </w:p>
          <w:p>
            <w:pPr>
              <w:tabs>
                <w:tab w:val="left" w:pos="5580"/>
              </w:tabs>
              <w:spacing w:line="360" w:lineRule="auto"/>
              <w:jc w:val="center"/>
              <w:rPr>
                <w:rFonts w:ascii="宋体" w:hAnsi="宋体"/>
                <w:b/>
                <w:color w:val="auto"/>
              </w:rPr>
            </w:pPr>
            <w:r>
              <w:rPr>
                <w:rFonts w:hint="eastAsia" w:ascii="宋体" w:hAnsi="宋体"/>
                <w:b/>
                <w:color w:val="auto"/>
              </w:rPr>
              <w:t>（人民币  元）</w:t>
            </w:r>
          </w:p>
        </w:tc>
        <w:tc>
          <w:tcPr>
            <w:tcW w:w="2640" w:type="dxa"/>
            <w:vAlign w:val="center"/>
          </w:tcPr>
          <w:p>
            <w:pPr>
              <w:tabs>
                <w:tab w:val="left" w:pos="5580"/>
              </w:tabs>
              <w:spacing w:line="360" w:lineRule="auto"/>
              <w:jc w:val="center"/>
              <w:rPr>
                <w:rFonts w:ascii="宋体" w:hAnsi="宋体"/>
                <w:b/>
                <w:color w:val="auto"/>
              </w:rPr>
            </w:pPr>
            <w:r>
              <w:rPr>
                <w:rFonts w:hint="eastAsia" w:ascii="宋体" w:hAnsi="宋体"/>
                <w:b/>
                <w:color w:val="auto"/>
              </w:rPr>
              <w:t>服务期</w:t>
            </w:r>
          </w:p>
        </w:tc>
        <w:tc>
          <w:tcPr>
            <w:tcW w:w="1702" w:type="dxa"/>
            <w:vAlign w:val="center"/>
          </w:tcPr>
          <w:p>
            <w:pPr>
              <w:tabs>
                <w:tab w:val="left" w:pos="5580"/>
              </w:tabs>
              <w:spacing w:line="360" w:lineRule="auto"/>
              <w:jc w:val="center"/>
              <w:rPr>
                <w:rFonts w:ascii="宋体" w:hAnsi="宋体"/>
                <w:b/>
                <w:color w:val="auto"/>
              </w:rPr>
            </w:pPr>
          </w:p>
          <w:p>
            <w:pPr>
              <w:tabs>
                <w:tab w:val="left" w:pos="5580"/>
              </w:tabs>
              <w:spacing w:line="360" w:lineRule="auto"/>
              <w:jc w:val="center"/>
              <w:rPr>
                <w:rFonts w:ascii="宋体" w:hAnsi="宋体"/>
                <w:b/>
                <w:color w:val="auto"/>
              </w:rPr>
            </w:pPr>
            <w:r>
              <w:rPr>
                <w:rFonts w:hint="eastAsia" w:ascii="宋体" w:hAnsi="宋体"/>
                <w:b/>
                <w:color w:val="auto"/>
              </w:rPr>
              <w:t>备注</w:t>
            </w:r>
          </w:p>
          <w:p>
            <w:pPr>
              <w:tabs>
                <w:tab w:val="left" w:pos="5580"/>
              </w:tabs>
              <w:spacing w:line="360" w:lineRule="auto"/>
              <w:jc w:val="center"/>
              <w:rPr>
                <w:rFonts w:ascii="宋体" w:hAnsi="宋体"/>
                <w:b/>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9" w:hRule="atLeast"/>
        </w:trPr>
        <w:tc>
          <w:tcPr>
            <w:tcW w:w="3236" w:type="dxa"/>
            <w:vAlign w:val="center"/>
          </w:tcPr>
          <w:p>
            <w:pPr>
              <w:spacing w:line="360" w:lineRule="auto"/>
              <w:ind w:firstLine="420" w:firstLineChars="200"/>
              <w:rPr>
                <w:color w:val="auto"/>
              </w:rPr>
            </w:pPr>
          </w:p>
        </w:tc>
        <w:tc>
          <w:tcPr>
            <w:tcW w:w="1918" w:type="dxa"/>
            <w:vAlign w:val="center"/>
          </w:tcPr>
          <w:p>
            <w:pPr>
              <w:tabs>
                <w:tab w:val="left" w:pos="5580"/>
              </w:tabs>
              <w:jc w:val="center"/>
              <w:rPr>
                <w:rFonts w:ascii="宋体" w:hAnsi="宋体"/>
                <w:color w:val="auto"/>
              </w:rPr>
            </w:pPr>
          </w:p>
        </w:tc>
        <w:tc>
          <w:tcPr>
            <w:tcW w:w="2640" w:type="dxa"/>
            <w:vAlign w:val="center"/>
          </w:tcPr>
          <w:p>
            <w:pPr>
              <w:tabs>
                <w:tab w:val="left" w:pos="5580"/>
              </w:tabs>
              <w:jc w:val="center"/>
              <w:rPr>
                <w:rFonts w:ascii="宋体" w:hAnsi="宋体"/>
                <w:color w:val="auto"/>
              </w:rPr>
            </w:pPr>
          </w:p>
        </w:tc>
        <w:tc>
          <w:tcPr>
            <w:tcW w:w="1702" w:type="dxa"/>
            <w:vAlign w:val="center"/>
          </w:tcPr>
          <w:p>
            <w:pPr>
              <w:tabs>
                <w:tab w:val="left" w:pos="5580"/>
              </w:tabs>
              <w:jc w:val="center"/>
              <w:rPr>
                <w:rFonts w:ascii="宋体" w:hAnsi="宋体"/>
                <w:color w:val="auto"/>
              </w:rPr>
            </w:pPr>
          </w:p>
        </w:tc>
      </w:tr>
    </w:tbl>
    <w:p>
      <w:pPr>
        <w:spacing w:line="360" w:lineRule="auto"/>
        <w:ind w:left="525" w:hanging="525" w:hangingChars="250"/>
        <w:rPr>
          <w:rFonts w:ascii="宋体" w:hAnsi="宋体"/>
          <w:color w:val="auto"/>
        </w:rPr>
      </w:pPr>
    </w:p>
    <w:p>
      <w:pPr>
        <w:spacing w:line="360" w:lineRule="auto"/>
        <w:ind w:left="525" w:hanging="525" w:hangingChars="250"/>
        <w:rPr>
          <w:rFonts w:ascii="宋体" w:hAnsi="宋体"/>
          <w:color w:val="auto"/>
        </w:rPr>
      </w:pPr>
    </w:p>
    <w:p>
      <w:pPr>
        <w:spacing w:line="360" w:lineRule="auto"/>
        <w:ind w:left="525" w:hanging="525" w:hangingChars="250"/>
        <w:rPr>
          <w:rFonts w:ascii="宋体" w:hAnsi="宋体"/>
          <w:color w:val="auto"/>
        </w:rPr>
      </w:pPr>
    </w:p>
    <w:p>
      <w:pPr>
        <w:pStyle w:val="19"/>
        <w:tabs>
          <w:tab w:val="left" w:pos="5580"/>
        </w:tabs>
        <w:spacing w:before="120" w:line="22" w:lineRule="atLeast"/>
        <w:rPr>
          <w:rFonts w:hAnsi="宋体"/>
          <w:color w:val="auto"/>
        </w:rPr>
      </w:pPr>
      <w:r>
        <w:rPr>
          <w:rFonts w:hint="eastAsia" w:hAnsi="宋体"/>
          <w:color w:val="auto"/>
        </w:rPr>
        <w:t>供应商名称（盖章）：</w:t>
      </w:r>
    </w:p>
    <w:p>
      <w:pPr>
        <w:pStyle w:val="19"/>
        <w:tabs>
          <w:tab w:val="left" w:pos="5580"/>
        </w:tabs>
        <w:spacing w:before="120" w:line="22" w:lineRule="atLeast"/>
        <w:rPr>
          <w:rFonts w:hAnsi="宋体"/>
          <w:color w:val="auto"/>
        </w:rPr>
      </w:pPr>
      <w:r>
        <w:rPr>
          <w:rFonts w:hint="eastAsia" w:hAnsi="宋体"/>
          <w:color w:val="auto"/>
        </w:rPr>
        <w:t>供应商授权代表(签字):</w:t>
      </w:r>
    </w:p>
    <w:p>
      <w:pPr>
        <w:pStyle w:val="19"/>
        <w:tabs>
          <w:tab w:val="left" w:pos="5580"/>
        </w:tabs>
        <w:spacing w:before="120" w:line="22" w:lineRule="atLeast"/>
        <w:ind w:firstLine="525" w:firstLineChars="250"/>
        <w:rPr>
          <w:rFonts w:hAnsi="宋体"/>
          <w:color w:val="auto"/>
        </w:rPr>
      </w:pPr>
      <w:r>
        <w:rPr>
          <w:rFonts w:hint="eastAsia" w:hAnsi="宋体"/>
          <w:color w:val="auto"/>
        </w:rPr>
        <w:t>年  月  日</w:t>
      </w:r>
    </w:p>
    <w:p>
      <w:pPr>
        <w:pStyle w:val="19"/>
        <w:tabs>
          <w:tab w:val="left" w:pos="5580"/>
        </w:tabs>
        <w:spacing w:before="120" w:line="22" w:lineRule="atLeast"/>
        <w:ind w:firstLine="525" w:firstLineChars="250"/>
        <w:rPr>
          <w:rFonts w:hAnsi="宋体"/>
          <w:color w:val="auto"/>
        </w:rPr>
      </w:pPr>
    </w:p>
    <w:p>
      <w:pPr>
        <w:pStyle w:val="19"/>
        <w:tabs>
          <w:tab w:val="left" w:pos="5580"/>
        </w:tabs>
        <w:spacing w:before="120" w:line="22" w:lineRule="atLeast"/>
        <w:ind w:firstLine="525" w:firstLineChars="250"/>
        <w:rPr>
          <w:rFonts w:hAnsi="宋体"/>
          <w:color w:val="auto"/>
        </w:rPr>
      </w:pPr>
    </w:p>
    <w:p>
      <w:pPr>
        <w:pStyle w:val="19"/>
        <w:tabs>
          <w:tab w:val="left" w:pos="5580"/>
        </w:tabs>
        <w:spacing w:before="120" w:line="22" w:lineRule="atLeast"/>
        <w:ind w:firstLine="525" w:firstLineChars="250"/>
        <w:rPr>
          <w:rFonts w:hAnsi="宋体"/>
          <w:color w:val="auto"/>
        </w:rPr>
      </w:pPr>
    </w:p>
    <w:p>
      <w:pPr>
        <w:spacing w:line="360" w:lineRule="auto"/>
        <w:rPr>
          <w:rFonts w:ascii="宋体" w:hAnsi="宋体"/>
          <w:b/>
          <w:color w:val="auto"/>
        </w:rPr>
      </w:pPr>
      <w:r>
        <w:rPr>
          <w:rFonts w:hint="eastAsia" w:ascii="宋体" w:hAnsi="宋体"/>
          <w:b/>
          <w:color w:val="auto"/>
        </w:rPr>
        <w:t>注:此表除在响应文件中提供外，还应按须知的规定另单独密封标记一份，投标时单独递交</w:t>
      </w:r>
    </w:p>
    <w:p>
      <w:pPr>
        <w:spacing w:line="360" w:lineRule="auto"/>
        <w:rPr>
          <w:rFonts w:ascii="宋体" w:hAnsi="宋体"/>
          <w:b/>
          <w:color w:val="auto"/>
        </w:rPr>
      </w:pPr>
    </w:p>
    <w:p>
      <w:pPr>
        <w:spacing w:line="360" w:lineRule="auto"/>
        <w:rPr>
          <w:rFonts w:ascii="宋体" w:hAnsi="宋体"/>
          <w:b/>
          <w:color w:val="auto"/>
        </w:rPr>
        <w:sectPr>
          <w:pgSz w:w="11906" w:h="16838"/>
          <w:pgMar w:top="1440" w:right="1274" w:bottom="1440" w:left="1800" w:header="851" w:footer="992" w:gutter="0"/>
          <w:cols w:space="425" w:num="1"/>
          <w:docGrid w:type="lines" w:linePitch="312" w:charSpace="0"/>
        </w:sectPr>
      </w:pPr>
    </w:p>
    <w:p>
      <w:pPr>
        <w:pStyle w:val="3"/>
        <w:pageBreakBefore/>
        <w:rPr>
          <w:rFonts w:ascii="宋体" w:hAnsi="宋体" w:eastAsia="宋体"/>
          <w:color w:val="auto"/>
          <w:sz w:val="21"/>
          <w:szCs w:val="21"/>
        </w:rPr>
      </w:pPr>
      <w:bookmarkStart w:id="295" w:name="_Toc27064308"/>
      <w:bookmarkStart w:id="296" w:name="_Toc27061998"/>
      <w:bookmarkStart w:id="297" w:name="_Toc31179"/>
      <w:bookmarkStart w:id="298" w:name="_Toc10266"/>
      <w:bookmarkStart w:id="299" w:name="_Toc480273892"/>
      <w:bookmarkStart w:id="300" w:name="_Toc423512632"/>
      <w:r>
        <w:rPr>
          <w:rFonts w:hint="eastAsia" w:ascii="宋体" w:hAnsi="宋体" w:eastAsia="宋体"/>
          <w:color w:val="auto"/>
          <w:sz w:val="21"/>
          <w:szCs w:val="21"/>
        </w:rPr>
        <w:t>附件3</w:t>
      </w:r>
      <w:r>
        <w:rPr>
          <w:rFonts w:ascii="宋体" w:hAnsi="宋体" w:eastAsia="宋体"/>
          <w:color w:val="auto"/>
          <w:sz w:val="21"/>
          <w:szCs w:val="21"/>
        </w:rPr>
        <w:t>分项报价表</w:t>
      </w:r>
      <w:bookmarkEnd w:id="295"/>
      <w:bookmarkEnd w:id="296"/>
      <w:bookmarkEnd w:id="297"/>
      <w:bookmarkEnd w:id="298"/>
    </w:p>
    <w:p>
      <w:pPr>
        <w:widowControl/>
        <w:jc w:val="left"/>
        <w:rPr>
          <w:rFonts w:ascii="宋体" w:hAnsi="宋体"/>
          <w:color w:val="auto"/>
          <w:sz w:val="24"/>
        </w:rPr>
      </w:pPr>
    </w:p>
    <w:p>
      <w:pPr>
        <w:pStyle w:val="161"/>
        <w:jc w:val="both"/>
        <w:outlineLvl w:val="9"/>
        <w:rPr>
          <w:rFonts w:cs="Times New Roman"/>
          <w:b w:val="0"/>
          <w:color w:val="auto"/>
          <w:szCs w:val="21"/>
        </w:rPr>
      </w:pPr>
    </w:p>
    <w:tbl>
      <w:tblPr>
        <w:tblStyle w:val="36"/>
        <w:tblW w:w="8472" w:type="dxa"/>
        <w:tblInd w:w="0" w:type="dxa"/>
        <w:tblLayout w:type="fixed"/>
        <w:tblCellMar>
          <w:top w:w="0" w:type="dxa"/>
          <w:left w:w="10" w:type="dxa"/>
          <w:bottom w:w="0" w:type="dxa"/>
          <w:right w:w="10" w:type="dxa"/>
        </w:tblCellMar>
      </w:tblPr>
      <w:tblGrid>
        <w:gridCol w:w="1954"/>
        <w:gridCol w:w="3126"/>
        <w:gridCol w:w="2116"/>
        <w:gridCol w:w="1276"/>
      </w:tblGrid>
      <w:tr>
        <w:trPr>
          <w:trHeight w:val="815" w:hRule="atLeast"/>
        </w:trPr>
        <w:tc>
          <w:tcPr>
            <w:tcW w:w="1954" w:type="dxa"/>
            <w:tcBorders>
              <w:top w:val="single" w:color="000000" w:sz="12" w:space="0"/>
              <w:left w:val="single" w:color="000000" w:sz="12"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宋体" w:hAnsi="宋体"/>
                <w:color w:val="auto"/>
              </w:rPr>
            </w:pPr>
            <w:r>
              <w:rPr>
                <w:rFonts w:ascii="宋体" w:hAnsi="宋体"/>
                <w:color w:val="auto"/>
              </w:rPr>
              <w:t>序号</w:t>
            </w:r>
          </w:p>
        </w:tc>
        <w:tc>
          <w:tcPr>
            <w:tcW w:w="3126" w:type="dxa"/>
            <w:tcBorders>
              <w:top w:val="single" w:color="000000" w:sz="12"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pacing w:before="156"/>
              <w:jc w:val="center"/>
              <w:rPr>
                <w:rFonts w:ascii="宋体" w:hAnsi="宋体"/>
                <w:color w:val="auto"/>
              </w:rPr>
            </w:pPr>
            <w:r>
              <w:rPr>
                <w:rFonts w:ascii="宋体" w:hAnsi="宋体"/>
                <w:color w:val="auto"/>
              </w:rPr>
              <w:t>项目内容</w:t>
            </w:r>
          </w:p>
        </w:tc>
        <w:tc>
          <w:tcPr>
            <w:tcW w:w="2116" w:type="dxa"/>
            <w:tcBorders>
              <w:top w:val="single" w:color="000000" w:sz="12"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before="156"/>
              <w:jc w:val="center"/>
              <w:rPr>
                <w:rFonts w:ascii="宋体" w:hAnsi="宋体"/>
                <w:color w:val="auto"/>
              </w:rPr>
            </w:pPr>
            <w:r>
              <w:rPr>
                <w:rFonts w:ascii="宋体" w:hAnsi="宋体"/>
                <w:color w:val="auto"/>
              </w:rPr>
              <w:t>分项报价</w:t>
            </w:r>
          </w:p>
        </w:tc>
        <w:tc>
          <w:tcPr>
            <w:tcW w:w="1276" w:type="dxa"/>
            <w:tcBorders>
              <w:top w:val="single" w:color="000000" w:sz="12" w:space="0"/>
              <w:left w:val="single" w:color="000000" w:sz="4" w:space="0"/>
              <w:bottom w:val="single" w:color="000000" w:sz="6" w:space="0"/>
              <w:right w:val="single" w:color="000000" w:sz="12" w:space="0"/>
            </w:tcBorders>
            <w:tcMar>
              <w:top w:w="0" w:type="dxa"/>
              <w:left w:w="108" w:type="dxa"/>
              <w:bottom w:w="0" w:type="dxa"/>
              <w:right w:w="108" w:type="dxa"/>
            </w:tcMar>
            <w:vAlign w:val="center"/>
          </w:tcPr>
          <w:p>
            <w:pPr>
              <w:spacing w:before="156"/>
              <w:ind w:right="-109"/>
              <w:jc w:val="center"/>
              <w:rPr>
                <w:rFonts w:ascii="宋体" w:hAnsi="宋体"/>
                <w:color w:val="auto"/>
              </w:rPr>
            </w:pPr>
            <w:r>
              <w:rPr>
                <w:rFonts w:ascii="宋体" w:hAnsi="宋体"/>
                <w:color w:val="auto"/>
              </w:rPr>
              <w:t>备注</w:t>
            </w:r>
          </w:p>
        </w:tc>
      </w:tr>
      <w:tr>
        <w:tblPrEx>
          <w:tblCellMar>
            <w:top w:w="0" w:type="dxa"/>
            <w:left w:w="10" w:type="dxa"/>
            <w:bottom w:w="0" w:type="dxa"/>
            <w:right w:w="10" w:type="dxa"/>
          </w:tblCellMar>
        </w:tblPrEx>
        <w:trPr>
          <w:cantSplit/>
          <w:trHeight w:val="315" w:hRule="atLeast"/>
        </w:trPr>
        <w:tc>
          <w:tcPr>
            <w:tcW w:w="1954" w:type="dxa"/>
            <w:tcBorders>
              <w:top w:val="single" w:color="000000" w:sz="6"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ascii="宋体" w:hAnsi="宋体"/>
                <w:color w:val="auto"/>
              </w:rPr>
            </w:pPr>
            <w:r>
              <w:rPr>
                <w:rFonts w:ascii="宋体" w:hAnsi="宋体"/>
                <w:color w:val="auto"/>
              </w:rPr>
              <w:t>1</w:t>
            </w:r>
          </w:p>
        </w:tc>
        <w:tc>
          <w:tcPr>
            <w:tcW w:w="3126"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ascii="宋体" w:hAnsi="宋体"/>
                <w:color w:val="auto"/>
              </w:rPr>
            </w:pPr>
          </w:p>
        </w:tc>
        <w:tc>
          <w:tcPr>
            <w:tcW w:w="2116" w:type="dxa"/>
            <w:tcBorders>
              <w:top w:val="single" w:color="000000" w:sz="6"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ascii="宋体" w:hAnsi="宋体"/>
                <w:color w:val="auto"/>
              </w:rPr>
            </w:pPr>
          </w:p>
        </w:tc>
        <w:tc>
          <w:tcPr>
            <w:tcW w:w="1276" w:type="dxa"/>
            <w:tcBorders>
              <w:top w:val="single" w:color="000000" w:sz="6"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ascii="宋体" w:hAnsi="宋体"/>
                <w:color w:val="auto"/>
              </w:rPr>
            </w:pPr>
          </w:p>
        </w:tc>
      </w:tr>
      <w:tr>
        <w:tblPrEx>
          <w:tblCellMar>
            <w:top w:w="0" w:type="dxa"/>
            <w:left w:w="10" w:type="dxa"/>
            <w:bottom w:w="0" w:type="dxa"/>
            <w:right w:w="10" w:type="dxa"/>
          </w:tblCellMar>
        </w:tblPrEx>
        <w:trPr>
          <w:cantSplit/>
          <w:trHeight w:val="450" w:hRule="atLeast"/>
        </w:trPr>
        <w:tc>
          <w:tcPr>
            <w:tcW w:w="1954" w:type="dxa"/>
            <w:tcBorders>
              <w:top w:val="single" w:color="000000" w:sz="4" w:space="0"/>
              <w:left w:val="single" w:color="000000" w:sz="12" w:space="0"/>
              <w:bottom w:val="single" w:color="000000" w:sz="4" w:space="0"/>
              <w:right w:val="single" w:color="000000" w:sz="6" w:space="0"/>
            </w:tcBorders>
            <w:tcMar>
              <w:top w:w="0" w:type="dxa"/>
              <w:left w:w="108" w:type="dxa"/>
              <w:bottom w:w="0" w:type="dxa"/>
              <w:right w:w="108" w:type="dxa"/>
            </w:tcMar>
            <w:vAlign w:val="center"/>
          </w:tcPr>
          <w:p>
            <w:pPr>
              <w:spacing w:before="156"/>
              <w:ind w:left="-134"/>
              <w:jc w:val="center"/>
              <w:rPr>
                <w:rFonts w:ascii="宋体" w:hAnsi="宋体"/>
                <w:color w:val="auto"/>
              </w:rPr>
            </w:pPr>
            <w:r>
              <w:rPr>
                <w:rFonts w:ascii="宋体" w:hAnsi="宋体"/>
                <w:color w:val="auto"/>
              </w:rPr>
              <w:t>2</w:t>
            </w:r>
          </w:p>
        </w:tc>
        <w:tc>
          <w:tcPr>
            <w:tcW w:w="3126"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pacing w:before="156"/>
              <w:jc w:val="center"/>
              <w:rPr>
                <w:rFonts w:ascii="宋体" w:hAnsi="宋体"/>
                <w:color w:val="auto"/>
              </w:rPr>
            </w:pPr>
          </w:p>
        </w:tc>
        <w:tc>
          <w:tcPr>
            <w:tcW w:w="2116"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before="156"/>
              <w:jc w:val="center"/>
              <w:rPr>
                <w:rFonts w:ascii="宋体" w:hAnsi="宋体"/>
                <w:color w:val="auto"/>
              </w:rPr>
            </w:pPr>
          </w:p>
        </w:tc>
        <w:tc>
          <w:tcPr>
            <w:tcW w:w="1276"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tcPr>
          <w:p>
            <w:pPr>
              <w:spacing w:before="156"/>
              <w:jc w:val="center"/>
              <w:rPr>
                <w:rFonts w:ascii="宋体" w:hAnsi="宋体"/>
                <w:color w:val="auto"/>
              </w:rPr>
            </w:pPr>
          </w:p>
        </w:tc>
      </w:tr>
      <w:tr>
        <w:tblPrEx>
          <w:tblCellMar>
            <w:top w:w="0" w:type="dxa"/>
            <w:left w:w="10" w:type="dxa"/>
            <w:bottom w:w="0" w:type="dxa"/>
            <w:right w:w="10" w:type="dxa"/>
          </w:tblCellMar>
        </w:tblPrEx>
        <w:trPr>
          <w:cantSplit/>
          <w:trHeight w:val="210" w:hRule="atLeast"/>
        </w:trPr>
        <w:tc>
          <w:tcPr>
            <w:tcW w:w="5080" w:type="dxa"/>
            <w:gridSpan w:val="2"/>
            <w:tcBorders>
              <w:top w:val="single" w:color="000000" w:sz="4" w:space="0"/>
              <w:left w:val="single" w:color="000000" w:sz="12" w:space="0"/>
              <w:bottom w:val="single" w:color="000000" w:sz="12" w:space="0"/>
              <w:right w:val="single" w:color="000000" w:sz="6" w:space="0"/>
            </w:tcBorders>
            <w:tcMar>
              <w:top w:w="0" w:type="dxa"/>
              <w:left w:w="108" w:type="dxa"/>
              <w:bottom w:w="0" w:type="dxa"/>
              <w:right w:w="108" w:type="dxa"/>
            </w:tcMar>
            <w:vAlign w:val="center"/>
          </w:tcPr>
          <w:p>
            <w:pPr>
              <w:spacing w:before="156"/>
              <w:jc w:val="center"/>
              <w:rPr>
                <w:rFonts w:ascii="宋体" w:hAnsi="宋体"/>
                <w:color w:val="auto"/>
              </w:rPr>
            </w:pPr>
            <w:r>
              <w:rPr>
                <w:rFonts w:ascii="宋体" w:hAnsi="宋体"/>
                <w:color w:val="auto"/>
              </w:rPr>
              <w:t xml:space="preserve">  总价：　　　　　　　　　</w:t>
            </w:r>
          </w:p>
        </w:tc>
        <w:tc>
          <w:tcPr>
            <w:tcW w:w="3392" w:type="dxa"/>
            <w:gridSpan w:val="2"/>
            <w:tcBorders>
              <w:top w:val="single" w:color="000000" w:sz="4" w:space="0"/>
              <w:left w:val="single" w:color="000000" w:sz="6" w:space="0"/>
              <w:bottom w:val="single" w:color="000000" w:sz="12" w:space="0"/>
              <w:right w:val="single" w:color="000000" w:sz="12" w:space="0"/>
            </w:tcBorders>
            <w:tcMar>
              <w:top w:w="0" w:type="dxa"/>
              <w:left w:w="108" w:type="dxa"/>
              <w:bottom w:w="0" w:type="dxa"/>
              <w:right w:w="108" w:type="dxa"/>
            </w:tcMar>
            <w:vAlign w:val="center"/>
          </w:tcPr>
          <w:p>
            <w:pPr>
              <w:spacing w:before="156"/>
              <w:jc w:val="center"/>
              <w:rPr>
                <w:rFonts w:ascii="宋体" w:hAnsi="宋体"/>
                <w:color w:val="auto"/>
              </w:rPr>
            </w:pPr>
          </w:p>
        </w:tc>
      </w:tr>
    </w:tbl>
    <w:p>
      <w:pPr>
        <w:pStyle w:val="19"/>
        <w:tabs>
          <w:tab w:val="left" w:pos="5580"/>
        </w:tabs>
        <w:spacing w:before="120" w:line="22" w:lineRule="atLeast"/>
        <w:rPr>
          <w:rFonts w:hAnsi="宋体"/>
          <w:color w:val="auto"/>
        </w:rPr>
      </w:pPr>
    </w:p>
    <w:p>
      <w:pPr>
        <w:pStyle w:val="19"/>
        <w:tabs>
          <w:tab w:val="left" w:pos="5580"/>
        </w:tabs>
        <w:spacing w:before="120" w:line="22" w:lineRule="atLeast"/>
        <w:rPr>
          <w:rFonts w:hAnsi="宋体"/>
          <w:color w:val="auto"/>
        </w:rPr>
      </w:pPr>
      <w:r>
        <w:rPr>
          <w:rFonts w:hint="eastAsia" w:hAnsi="宋体"/>
          <w:color w:val="auto"/>
        </w:rPr>
        <w:t>供应商</w:t>
      </w:r>
      <w:r>
        <w:rPr>
          <w:rFonts w:hAnsi="宋体"/>
          <w:color w:val="auto"/>
        </w:rPr>
        <w:t>名称（盖章）：</w:t>
      </w:r>
    </w:p>
    <w:p>
      <w:pPr>
        <w:pStyle w:val="19"/>
        <w:tabs>
          <w:tab w:val="left" w:pos="5580"/>
        </w:tabs>
        <w:spacing w:before="120" w:line="22" w:lineRule="atLeast"/>
        <w:rPr>
          <w:rFonts w:hAnsi="宋体"/>
          <w:color w:val="auto"/>
        </w:rPr>
      </w:pPr>
      <w:r>
        <w:rPr>
          <w:rFonts w:hint="eastAsia" w:hAnsi="宋体"/>
          <w:color w:val="auto"/>
        </w:rPr>
        <w:t>供应商授权代表</w:t>
      </w:r>
      <w:r>
        <w:rPr>
          <w:rFonts w:hAnsi="宋体"/>
          <w:color w:val="auto"/>
        </w:rPr>
        <w:t>(盖章或签字):</w:t>
      </w:r>
    </w:p>
    <w:p>
      <w:pPr>
        <w:pStyle w:val="19"/>
        <w:tabs>
          <w:tab w:val="left" w:pos="5580"/>
        </w:tabs>
        <w:spacing w:before="120" w:line="22" w:lineRule="atLeast"/>
        <w:rPr>
          <w:rFonts w:hAnsi="宋体"/>
          <w:color w:val="auto"/>
        </w:rPr>
      </w:pPr>
      <w:r>
        <w:rPr>
          <w:rFonts w:hAnsi="宋体"/>
          <w:color w:val="auto"/>
        </w:rPr>
        <w:t>日  期：年月日</w:t>
      </w:r>
    </w:p>
    <w:p>
      <w:pPr>
        <w:pStyle w:val="19"/>
        <w:widowControl/>
        <w:rPr>
          <w:rFonts w:hAnsi="宋体"/>
          <w:color w:val="auto"/>
        </w:rPr>
      </w:pPr>
    </w:p>
    <w:p>
      <w:pPr>
        <w:pStyle w:val="19"/>
        <w:widowControl/>
        <w:rPr>
          <w:rFonts w:hAnsi="宋体"/>
          <w:color w:val="auto"/>
        </w:rPr>
      </w:pPr>
      <w:r>
        <w:rPr>
          <w:rFonts w:hAnsi="宋体"/>
          <w:color w:val="auto"/>
        </w:rPr>
        <w:t>注：1、如果按单价计算的结果与总价不一致,以单价为准修正总价。</w:t>
      </w:r>
    </w:p>
    <w:p>
      <w:pPr>
        <w:pStyle w:val="19"/>
        <w:widowControl/>
        <w:ind w:firstLine="405"/>
        <w:rPr>
          <w:rFonts w:hAnsi="宋体"/>
          <w:color w:val="auto"/>
        </w:rPr>
      </w:pPr>
      <w:r>
        <w:rPr>
          <w:rFonts w:hAnsi="宋体"/>
          <w:color w:val="auto"/>
        </w:rPr>
        <w:t>2、如果单价金额小数点有明显错位的，应以总价为准，并修改单价。</w:t>
      </w:r>
    </w:p>
    <w:p>
      <w:pPr>
        <w:pStyle w:val="19"/>
        <w:widowControl/>
        <w:ind w:firstLine="405"/>
        <w:rPr>
          <w:rFonts w:hAnsi="宋体"/>
          <w:color w:val="auto"/>
        </w:rPr>
      </w:pPr>
      <w:r>
        <w:rPr>
          <w:rFonts w:hAnsi="宋体"/>
          <w:color w:val="auto"/>
        </w:rPr>
        <w:t>3、</w:t>
      </w:r>
      <w:r>
        <w:rPr>
          <w:rFonts w:hint="eastAsia" w:hAnsi="宋体"/>
          <w:color w:val="auto"/>
        </w:rPr>
        <w:t>分项报价单格式可以扩充。</w:t>
      </w:r>
    </w:p>
    <w:p>
      <w:pPr>
        <w:pStyle w:val="19"/>
        <w:widowControl/>
        <w:ind w:firstLine="405"/>
        <w:rPr>
          <w:rFonts w:hAnsi="宋体"/>
          <w:color w:val="auto"/>
        </w:rPr>
      </w:pPr>
      <w:r>
        <w:rPr>
          <w:rFonts w:hAnsi="宋体"/>
          <w:color w:val="auto"/>
        </w:rPr>
        <w:t>4、</w:t>
      </w:r>
      <w:r>
        <w:rPr>
          <w:rFonts w:hint="eastAsia" w:hAnsi="宋体"/>
          <w:color w:val="auto"/>
        </w:rPr>
        <w:t>供应商</w:t>
      </w:r>
      <w:r>
        <w:rPr>
          <w:rFonts w:hAnsi="宋体"/>
          <w:color w:val="auto"/>
        </w:rPr>
        <w:t>需提供详细的</w:t>
      </w:r>
      <w:r>
        <w:rPr>
          <w:rFonts w:hint="eastAsia" w:hAnsi="宋体"/>
          <w:color w:val="auto"/>
        </w:rPr>
        <w:t>分项</w:t>
      </w:r>
      <w:r>
        <w:rPr>
          <w:rFonts w:hAnsi="宋体"/>
          <w:color w:val="auto"/>
        </w:rPr>
        <w:t>报价明细。</w:t>
      </w:r>
      <w:r>
        <w:rPr>
          <w:rFonts w:hAnsi="宋体"/>
          <w:color w:val="auto"/>
          <w:sz w:val="24"/>
        </w:rPr>
        <w:br w:type="page"/>
      </w:r>
    </w:p>
    <w:p>
      <w:pPr>
        <w:pStyle w:val="3"/>
        <w:tabs>
          <w:tab w:val="left" w:pos="5580"/>
        </w:tabs>
        <w:rPr>
          <w:rFonts w:ascii="宋体" w:hAnsi="宋体" w:eastAsia="宋体"/>
          <w:b w:val="0"/>
          <w:color w:val="auto"/>
          <w:sz w:val="21"/>
          <w:szCs w:val="21"/>
        </w:rPr>
      </w:pPr>
      <w:bookmarkStart w:id="301" w:name="_Toc27064309"/>
      <w:bookmarkStart w:id="302" w:name="_Toc27061999"/>
      <w:bookmarkStart w:id="303" w:name="_Toc27673"/>
      <w:bookmarkStart w:id="304" w:name="_Toc8142"/>
      <w:r>
        <w:rPr>
          <w:rFonts w:ascii="宋体" w:hAnsi="宋体" w:eastAsia="宋体"/>
          <w:color w:val="auto"/>
          <w:sz w:val="21"/>
          <w:szCs w:val="21"/>
        </w:rPr>
        <w:t>附件</w:t>
      </w:r>
      <w:bookmarkStart w:id="305" w:name="_Toc421612749"/>
      <w:r>
        <w:rPr>
          <w:rFonts w:ascii="宋体" w:hAnsi="宋体" w:eastAsia="宋体"/>
          <w:color w:val="auto"/>
          <w:sz w:val="21"/>
          <w:szCs w:val="21"/>
        </w:rPr>
        <w:t>4商务条款偏离表格式</w:t>
      </w:r>
      <w:bookmarkEnd w:id="299"/>
      <w:bookmarkEnd w:id="300"/>
      <w:bookmarkEnd w:id="301"/>
      <w:bookmarkEnd w:id="302"/>
      <w:bookmarkEnd w:id="303"/>
      <w:bookmarkEnd w:id="304"/>
      <w:bookmarkEnd w:id="305"/>
    </w:p>
    <w:p>
      <w:pPr>
        <w:pStyle w:val="19"/>
        <w:tabs>
          <w:tab w:val="left" w:pos="5580"/>
        </w:tabs>
        <w:spacing w:before="120" w:line="22" w:lineRule="atLeast"/>
        <w:rPr>
          <w:rFonts w:hAnsi="宋体"/>
          <w:color w:val="auto"/>
        </w:rPr>
      </w:pPr>
      <w:r>
        <w:rPr>
          <w:rFonts w:hint="eastAsia" w:hAnsi="宋体"/>
          <w:color w:val="auto"/>
        </w:rPr>
        <w:t>供应商</w:t>
      </w:r>
      <w:r>
        <w:rPr>
          <w:rFonts w:hAnsi="宋体"/>
          <w:color w:val="auto"/>
        </w:rPr>
        <w:t xml:space="preserve">名称:                                       </w:t>
      </w:r>
      <w:r>
        <w:rPr>
          <w:rFonts w:hint="eastAsia" w:hAnsi="宋体"/>
          <w:color w:val="auto"/>
        </w:rPr>
        <w:t>项目</w:t>
      </w:r>
      <w:r>
        <w:rPr>
          <w:rFonts w:hAnsi="宋体"/>
          <w:color w:val="auto"/>
        </w:rPr>
        <w:t>编号:</w:t>
      </w:r>
    </w:p>
    <w:tbl>
      <w:tblPr>
        <w:tblStyle w:val="36"/>
        <w:tblW w:w="87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01"/>
        <w:gridCol w:w="2977"/>
        <w:gridCol w:w="2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9"/>
              <w:tabs>
                <w:tab w:val="left" w:pos="5580"/>
              </w:tabs>
              <w:spacing w:before="120" w:line="22" w:lineRule="atLeast"/>
              <w:rPr>
                <w:rFonts w:hAnsi="宋体"/>
                <w:color w:val="auto"/>
              </w:rPr>
            </w:pPr>
            <w:r>
              <w:rPr>
                <w:rFonts w:hAnsi="宋体"/>
                <w:color w:val="auto"/>
              </w:rPr>
              <w:t>序号</w:t>
            </w:r>
          </w:p>
        </w:tc>
        <w:tc>
          <w:tcPr>
            <w:tcW w:w="2801" w:type="dxa"/>
            <w:vAlign w:val="center"/>
          </w:tcPr>
          <w:p>
            <w:pPr>
              <w:pStyle w:val="19"/>
              <w:tabs>
                <w:tab w:val="left" w:pos="5580"/>
              </w:tabs>
              <w:spacing w:before="120" w:line="22" w:lineRule="atLeast"/>
              <w:rPr>
                <w:rFonts w:hAnsi="宋体"/>
                <w:color w:val="auto"/>
              </w:rPr>
            </w:pPr>
            <w:r>
              <w:rPr>
                <w:rFonts w:hint="eastAsia" w:hAnsi="宋体"/>
                <w:color w:val="auto"/>
              </w:rPr>
              <w:t>竞争性磋商</w:t>
            </w:r>
            <w:r>
              <w:rPr>
                <w:rFonts w:hAnsi="宋体"/>
                <w:color w:val="auto"/>
              </w:rPr>
              <w:t>文件条款号</w:t>
            </w:r>
          </w:p>
        </w:tc>
        <w:tc>
          <w:tcPr>
            <w:tcW w:w="2977" w:type="dxa"/>
            <w:vAlign w:val="center"/>
          </w:tcPr>
          <w:p>
            <w:pPr>
              <w:pStyle w:val="19"/>
              <w:tabs>
                <w:tab w:val="left" w:pos="5580"/>
              </w:tabs>
              <w:spacing w:before="120" w:line="22" w:lineRule="atLeast"/>
              <w:rPr>
                <w:rFonts w:hAnsi="宋体"/>
                <w:color w:val="auto"/>
              </w:rPr>
            </w:pPr>
            <w:r>
              <w:rPr>
                <w:rFonts w:hint="eastAsia" w:hAnsi="宋体"/>
                <w:color w:val="auto"/>
              </w:rPr>
              <w:t>对竞争性磋商</w:t>
            </w:r>
            <w:r>
              <w:rPr>
                <w:rFonts w:hAnsi="宋体"/>
                <w:color w:val="auto"/>
              </w:rPr>
              <w:t>文件的商务条款</w:t>
            </w:r>
            <w:r>
              <w:rPr>
                <w:rFonts w:hint="eastAsia" w:hAnsi="宋体"/>
                <w:color w:val="auto"/>
              </w:rPr>
              <w:t>偏离情况</w:t>
            </w:r>
          </w:p>
        </w:tc>
        <w:tc>
          <w:tcPr>
            <w:tcW w:w="2110" w:type="dxa"/>
            <w:vAlign w:val="center"/>
          </w:tcPr>
          <w:p>
            <w:pPr>
              <w:pStyle w:val="19"/>
              <w:tabs>
                <w:tab w:val="left" w:pos="5580"/>
              </w:tabs>
              <w:spacing w:before="120" w:line="22" w:lineRule="atLeast"/>
              <w:rPr>
                <w:rFonts w:hAnsi="宋体"/>
                <w:color w:val="auto"/>
              </w:rPr>
            </w:pPr>
            <w:r>
              <w:rPr>
                <w:rFonts w:hAnsi="宋体"/>
                <w:color w:val="auto"/>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801" w:type="dxa"/>
            <w:vAlign w:val="center"/>
          </w:tcPr>
          <w:p>
            <w:pPr>
              <w:rPr>
                <w:rFonts w:ascii="宋体" w:hAnsi="宋体"/>
                <w:color w:val="auto"/>
              </w:rPr>
            </w:pPr>
          </w:p>
        </w:tc>
        <w:tc>
          <w:tcPr>
            <w:tcW w:w="2977" w:type="dxa"/>
            <w:vAlign w:val="center"/>
          </w:tcPr>
          <w:p>
            <w:pPr>
              <w:rPr>
                <w:rFonts w:ascii="宋体" w:hAnsi="宋体"/>
                <w:color w:val="auto"/>
              </w:rPr>
            </w:pPr>
          </w:p>
        </w:tc>
        <w:tc>
          <w:tcPr>
            <w:tcW w:w="2110" w:type="dxa"/>
            <w:vAlign w:val="center"/>
          </w:tcPr>
          <w:p>
            <w:pPr>
              <w:rPr>
                <w:rFonts w:ascii="宋体" w:hAnsi="宋体"/>
                <w:color w:val="auto"/>
              </w:rPr>
            </w:pPr>
          </w:p>
        </w:tc>
      </w:tr>
    </w:tbl>
    <w:p>
      <w:pPr>
        <w:rPr>
          <w:rFonts w:ascii="宋体" w:hAnsi="宋体"/>
          <w:color w:val="auto"/>
        </w:rPr>
      </w:pPr>
    </w:p>
    <w:p>
      <w:pPr>
        <w:pStyle w:val="19"/>
        <w:tabs>
          <w:tab w:val="left" w:pos="5580"/>
        </w:tabs>
        <w:spacing w:before="120" w:line="22" w:lineRule="atLeast"/>
        <w:rPr>
          <w:rFonts w:hAnsi="宋体"/>
          <w:color w:val="auto"/>
        </w:rPr>
      </w:pPr>
      <w:r>
        <w:rPr>
          <w:rFonts w:hint="eastAsia" w:hAnsi="宋体"/>
          <w:color w:val="auto"/>
        </w:rPr>
        <w:t>供应商</w:t>
      </w:r>
      <w:r>
        <w:rPr>
          <w:rFonts w:hAnsi="宋体"/>
          <w:color w:val="auto"/>
        </w:rPr>
        <w:t>名称（盖章）：</w:t>
      </w:r>
    </w:p>
    <w:p>
      <w:pPr>
        <w:pStyle w:val="19"/>
        <w:tabs>
          <w:tab w:val="left" w:pos="5580"/>
        </w:tabs>
        <w:spacing w:before="120" w:line="22" w:lineRule="atLeast"/>
        <w:rPr>
          <w:rFonts w:hAnsi="宋体"/>
          <w:color w:val="auto"/>
        </w:rPr>
      </w:pPr>
      <w:r>
        <w:rPr>
          <w:rFonts w:hint="eastAsia" w:hAnsi="宋体"/>
          <w:color w:val="auto"/>
        </w:rPr>
        <w:t>供应商授权代表</w:t>
      </w:r>
      <w:r>
        <w:rPr>
          <w:rFonts w:hAnsi="宋体"/>
          <w:color w:val="auto"/>
        </w:rPr>
        <w:t>(盖章或签字):</w:t>
      </w:r>
    </w:p>
    <w:p>
      <w:pPr>
        <w:pStyle w:val="19"/>
        <w:tabs>
          <w:tab w:val="left" w:pos="5580"/>
        </w:tabs>
        <w:spacing w:before="120" w:line="22" w:lineRule="atLeast"/>
        <w:rPr>
          <w:rFonts w:hAnsi="宋体"/>
          <w:color w:val="auto"/>
        </w:rPr>
      </w:pPr>
    </w:p>
    <w:p>
      <w:pPr>
        <w:pStyle w:val="19"/>
        <w:tabs>
          <w:tab w:val="left" w:pos="5580"/>
        </w:tabs>
        <w:spacing w:before="120" w:line="22" w:lineRule="atLeast"/>
        <w:rPr>
          <w:rFonts w:hAnsi="宋体"/>
          <w:color w:val="auto"/>
        </w:rPr>
      </w:pPr>
      <w:r>
        <w:rPr>
          <w:rFonts w:hAnsi="宋体"/>
          <w:color w:val="auto"/>
        </w:rPr>
        <w:t>日  期：年月日</w:t>
      </w:r>
    </w:p>
    <w:p>
      <w:pPr>
        <w:pStyle w:val="3"/>
        <w:tabs>
          <w:tab w:val="left" w:pos="5580"/>
        </w:tabs>
        <w:rPr>
          <w:rFonts w:ascii="宋体" w:hAnsi="宋体" w:eastAsia="宋体"/>
          <w:color w:val="auto"/>
          <w:sz w:val="21"/>
          <w:szCs w:val="21"/>
        </w:rPr>
      </w:pPr>
      <w:r>
        <w:rPr>
          <w:rFonts w:ascii="宋体" w:hAnsi="宋体" w:eastAsia="宋体"/>
          <w:color w:val="auto"/>
          <w:sz w:val="21"/>
          <w:szCs w:val="21"/>
        </w:rPr>
        <w:br w:type="page"/>
      </w:r>
      <w:bookmarkStart w:id="306" w:name="_Toc27064310"/>
      <w:bookmarkStart w:id="307" w:name="_Toc27062000"/>
      <w:bookmarkStart w:id="308" w:name="_Toc480273893"/>
      <w:bookmarkStart w:id="309" w:name="_Toc421612750"/>
      <w:bookmarkStart w:id="310" w:name="_Toc423512633"/>
      <w:bookmarkStart w:id="311" w:name="_Toc15135"/>
      <w:bookmarkStart w:id="312" w:name="_Toc25015"/>
      <w:r>
        <w:rPr>
          <w:rFonts w:ascii="宋体" w:hAnsi="宋体" w:eastAsia="宋体"/>
          <w:color w:val="auto"/>
          <w:sz w:val="21"/>
          <w:szCs w:val="21"/>
        </w:rPr>
        <w:t>附件5 技术偏离表</w:t>
      </w:r>
      <w:bookmarkEnd w:id="306"/>
      <w:bookmarkEnd w:id="307"/>
      <w:bookmarkEnd w:id="308"/>
      <w:bookmarkEnd w:id="309"/>
      <w:bookmarkEnd w:id="310"/>
      <w:bookmarkEnd w:id="311"/>
      <w:bookmarkEnd w:id="312"/>
    </w:p>
    <w:p>
      <w:pPr>
        <w:pStyle w:val="19"/>
        <w:tabs>
          <w:tab w:val="left" w:pos="5580"/>
        </w:tabs>
        <w:spacing w:before="120" w:line="22" w:lineRule="atLeast"/>
        <w:rPr>
          <w:rFonts w:hAnsi="宋体"/>
          <w:color w:val="auto"/>
        </w:rPr>
      </w:pPr>
      <w:r>
        <w:rPr>
          <w:rFonts w:hint="eastAsia" w:hAnsi="宋体"/>
          <w:color w:val="auto"/>
        </w:rPr>
        <w:t>供应商</w:t>
      </w:r>
      <w:r>
        <w:rPr>
          <w:rFonts w:hAnsi="宋体"/>
          <w:color w:val="auto"/>
        </w:rPr>
        <w:t>名称:</w:t>
      </w:r>
      <w:r>
        <w:rPr>
          <w:rFonts w:hint="eastAsia" w:hAnsi="宋体"/>
          <w:color w:val="auto"/>
        </w:rPr>
        <w:t xml:space="preserve">                                         项目</w:t>
      </w:r>
      <w:r>
        <w:rPr>
          <w:rFonts w:hAnsi="宋体"/>
          <w:color w:val="auto"/>
        </w:rPr>
        <w:t>编号:</w:t>
      </w:r>
    </w:p>
    <w:tbl>
      <w:tblPr>
        <w:tblStyle w:val="36"/>
        <w:tblW w:w="87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59"/>
        <w:gridCol w:w="3119"/>
        <w:gridCol w:w="2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19"/>
              <w:tabs>
                <w:tab w:val="left" w:pos="5580"/>
              </w:tabs>
              <w:spacing w:before="120" w:line="22" w:lineRule="atLeast"/>
              <w:rPr>
                <w:rFonts w:hAnsi="宋体"/>
                <w:color w:val="auto"/>
              </w:rPr>
            </w:pPr>
            <w:r>
              <w:rPr>
                <w:rFonts w:hAnsi="宋体"/>
                <w:color w:val="auto"/>
              </w:rPr>
              <w:t>序号</w:t>
            </w:r>
          </w:p>
        </w:tc>
        <w:tc>
          <w:tcPr>
            <w:tcW w:w="2659" w:type="dxa"/>
            <w:vAlign w:val="center"/>
          </w:tcPr>
          <w:p>
            <w:pPr>
              <w:pStyle w:val="19"/>
              <w:tabs>
                <w:tab w:val="left" w:pos="5580"/>
              </w:tabs>
              <w:spacing w:before="120" w:line="22" w:lineRule="atLeast"/>
              <w:rPr>
                <w:rFonts w:hAnsi="宋体"/>
                <w:color w:val="auto"/>
              </w:rPr>
            </w:pPr>
            <w:r>
              <w:rPr>
                <w:rFonts w:hint="eastAsia" w:hAnsi="宋体"/>
                <w:color w:val="auto"/>
              </w:rPr>
              <w:t>竞争性磋商</w:t>
            </w:r>
            <w:r>
              <w:rPr>
                <w:rFonts w:hAnsi="宋体"/>
                <w:color w:val="auto"/>
              </w:rPr>
              <w:t>文件条款号</w:t>
            </w:r>
          </w:p>
        </w:tc>
        <w:tc>
          <w:tcPr>
            <w:tcW w:w="3119" w:type="dxa"/>
            <w:vAlign w:val="center"/>
          </w:tcPr>
          <w:p>
            <w:pPr>
              <w:pStyle w:val="19"/>
              <w:tabs>
                <w:tab w:val="left" w:pos="5580"/>
              </w:tabs>
              <w:spacing w:before="120" w:line="22" w:lineRule="atLeast"/>
              <w:rPr>
                <w:rFonts w:hAnsi="宋体"/>
                <w:color w:val="auto"/>
              </w:rPr>
            </w:pPr>
            <w:r>
              <w:rPr>
                <w:rFonts w:hint="eastAsia" w:hAnsi="宋体"/>
                <w:color w:val="auto"/>
              </w:rPr>
              <w:t>对竞争性磋商</w:t>
            </w:r>
            <w:r>
              <w:rPr>
                <w:rFonts w:hAnsi="宋体"/>
                <w:color w:val="auto"/>
              </w:rPr>
              <w:t>文件的技术条款</w:t>
            </w:r>
            <w:r>
              <w:rPr>
                <w:rFonts w:hint="eastAsia" w:hAnsi="宋体"/>
                <w:color w:val="auto"/>
              </w:rPr>
              <w:t>偏离情况</w:t>
            </w:r>
          </w:p>
        </w:tc>
        <w:tc>
          <w:tcPr>
            <w:tcW w:w="2110" w:type="dxa"/>
            <w:vAlign w:val="center"/>
          </w:tcPr>
          <w:p>
            <w:pPr>
              <w:pStyle w:val="19"/>
              <w:tabs>
                <w:tab w:val="left" w:pos="5580"/>
              </w:tabs>
              <w:spacing w:before="120" w:line="22" w:lineRule="atLeast"/>
              <w:rPr>
                <w:rFonts w:hAnsi="宋体"/>
                <w:color w:val="auto"/>
              </w:rPr>
            </w:pPr>
            <w:r>
              <w:rPr>
                <w:rFonts w:hAnsi="宋体"/>
                <w:color w:val="auto"/>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rPr>
                <w:rFonts w:ascii="宋体" w:hAnsi="宋体"/>
                <w:color w:val="auto"/>
              </w:rPr>
            </w:pPr>
          </w:p>
        </w:tc>
        <w:tc>
          <w:tcPr>
            <w:tcW w:w="2659" w:type="dxa"/>
            <w:vAlign w:val="center"/>
          </w:tcPr>
          <w:p>
            <w:pPr>
              <w:rPr>
                <w:rFonts w:ascii="宋体" w:hAnsi="宋体"/>
                <w:color w:val="auto"/>
              </w:rPr>
            </w:pPr>
          </w:p>
        </w:tc>
        <w:tc>
          <w:tcPr>
            <w:tcW w:w="3119" w:type="dxa"/>
            <w:vAlign w:val="center"/>
          </w:tcPr>
          <w:p>
            <w:pPr>
              <w:rPr>
                <w:rFonts w:ascii="宋体" w:hAnsi="宋体"/>
                <w:color w:val="auto"/>
              </w:rPr>
            </w:pPr>
          </w:p>
        </w:tc>
        <w:tc>
          <w:tcPr>
            <w:tcW w:w="2110" w:type="dxa"/>
            <w:vAlign w:val="center"/>
          </w:tcPr>
          <w:p>
            <w:pPr>
              <w:rPr>
                <w:rFonts w:ascii="宋体" w:hAnsi="宋体"/>
                <w:color w:val="auto"/>
              </w:rPr>
            </w:pPr>
          </w:p>
        </w:tc>
      </w:tr>
    </w:tbl>
    <w:p>
      <w:pPr>
        <w:rPr>
          <w:rFonts w:ascii="宋体" w:hAnsi="宋体"/>
          <w:color w:val="auto"/>
        </w:rPr>
      </w:pPr>
    </w:p>
    <w:p>
      <w:pPr>
        <w:pStyle w:val="19"/>
        <w:tabs>
          <w:tab w:val="left" w:pos="5580"/>
        </w:tabs>
        <w:spacing w:before="120" w:line="22" w:lineRule="atLeast"/>
        <w:rPr>
          <w:rFonts w:hAnsi="宋体"/>
          <w:color w:val="auto"/>
        </w:rPr>
      </w:pPr>
      <w:r>
        <w:rPr>
          <w:rFonts w:hint="eastAsia" w:hAnsi="宋体"/>
          <w:color w:val="auto"/>
        </w:rPr>
        <w:t>供应商</w:t>
      </w:r>
      <w:r>
        <w:rPr>
          <w:rFonts w:hAnsi="宋体"/>
          <w:color w:val="auto"/>
        </w:rPr>
        <w:t>名称（盖章）：</w:t>
      </w:r>
    </w:p>
    <w:p>
      <w:pPr>
        <w:pStyle w:val="19"/>
        <w:tabs>
          <w:tab w:val="left" w:pos="5580"/>
        </w:tabs>
        <w:spacing w:before="120" w:line="22" w:lineRule="atLeast"/>
        <w:rPr>
          <w:rFonts w:hAnsi="宋体"/>
          <w:color w:val="auto"/>
        </w:rPr>
      </w:pPr>
      <w:r>
        <w:rPr>
          <w:rFonts w:hint="eastAsia" w:hAnsi="宋体"/>
          <w:color w:val="auto"/>
        </w:rPr>
        <w:t>供应商授权代表</w:t>
      </w:r>
      <w:r>
        <w:rPr>
          <w:rFonts w:hAnsi="宋体"/>
          <w:color w:val="auto"/>
        </w:rPr>
        <w:t>(盖章或签字):</w:t>
      </w:r>
    </w:p>
    <w:p>
      <w:pPr>
        <w:rPr>
          <w:rFonts w:ascii="宋体" w:hAnsi="宋体"/>
          <w:color w:val="auto"/>
        </w:rPr>
      </w:pPr>
    </w:p>
    <w:p>
      <w:pPr>
        <w:rPr>
          <w:rFonts w:ascii="宋体" w:hAnsi="宋体"/>
          <w:color w:val="auto"/>
        </w:rPr>
      </w:pPr>
      <w:r>
        <w:rPr>
          <w:rFonts w:ascii="宋体" w:hAnsi="宋体"/>
          <w:color w:val="auto"/>
        </w:rPr>
        <w:t>日  期：年月日</w:t>
      </w:r>
    </w:p>
    <w:p>
      <w:pPr>
        <w:widowControl/>
        <w:jc w:val="left"/>
        <w:rPr>
          <w:rFonts w:ascii="宋体" w:hAnsi="宋体"/>
          <w:b/>
          <w:bCs/>
          <w:color w:val="auto"/>
          <w:kern w:val="0"/>
        </w:rPr>
      </w:pPr>
      <w:r>
        <w:rPr>
          <w:rFonts w:ascii="宋体" w:hAnsi="宋体"/>
          <w:bCs/>
          <w:color w:val="auto"/>
        </w:rPr>
        <w:br w:type="page"/>
      </w:r>
    </w:p>
    <w:p>
      <w:pPr>
        <w:pStyle w:val="3"/>
        <w:rPr>
          <w:rFonts w:ascii="宋体" w:hAnsi="宋体" w:eastAsia="宋体"/>
          <w:color w:val="auto"/>
          <w:sz w:val="21"/>
          <w:szCs w:val="21"/>
        </w:rPr>
      </w:pPr>
      <w:bookmarkStart w:id="313" w:name="_Toc27062001"/>
      <w:bookmarkStart w:id="314" w:name="_Toc27064311"/>
      <w:bookmarkStart w:id="315" w:name="_Toc21291"/>
      <w:bookmarkStart w:id="316" w:name="_Toc8542"/>
      <w:r>
        <w:rPr>
          <w:rFonts w:hint="eastAsia" w:ascii="宋体" w:hAnsi="宋体" w:eastAsia="宋体"/>
          <w:color w:val="auto"/>
          <w:sz w:val="21"/>
          <w:szCs w:val="21"/>
        </w:rPr>
        <w:t>附件6成交服务费承诺书</w:t>
      </w:r>
      <w:bookmarkEnd w:id="313"/>
      <w:bookmarkEnd w:id="314"/>
      <w:bookmarkEnd w:id="315"/>
      <w:bookmarkEnd w:id="316"/>
    </w:p>
    <w:p>
      <w:pPr>
        <w:pStyle w:val="7"/>
        <w:rPr>
          <w:rFonts w:hAnsi="宋体"/>
          <w:color w:val="auto"/>
        </w:rPr>
      </w:pPr>
    </w:p>
    <w:p>
      <w:pPr>
        <w:pStyle w:val="7"/>
        <w:spacing w:line="360" w:lineRule="auto"/>
        <w:ind w:firstLine="0"/>
        <w:jc w:val="center"/>
        <w:rPr>
          <w:rFonts w:hAnsi="宋体"/>
          <w:b/>
          <w:color w:val="auto"/>
        </w:rPr>
      </w:pPr>
      <w:r>
        <w:rPr>
          <w:rFonts w:hint="eastAsia" w:hAnsi="宋体"/>
          <w:b/>
          <w:color w:val="auto"/>
        </w:rPr>
        <w:t>成交服务费承诺书</w:t>
      </w:r>
    </w:p>
    <w:p>
      <w:pPr>
        <w:pStyle w:val="19"/>
        <w:spacing w:line="360" w:lineRule="auto"/>
        <w:rPr>
          <w:rFonts w:hAnsi="宋体"/>
          <w:color w:val="auto"/>
        </w:rPr>
      </w:pPr>
    </w:p>
    <w:p>
      <w:pPr>
        <w:pStyle w:val="19"/>
        <w:spacing w:line="360" w:lineRule="auto"/>
        <w:rPr>
          <w:rFonts w:hAnsi="宋体"/>
          <w:color w:val="auto"/>
        </w:rPr>
      </w:pPr>
      <w:r>
        <w:rPr>
          <w:rFonts w:hint="eastAsia" w:hAnsi="宋体"/>
          <w:color w:val="auto"/>
        </w:rPr>
        <w:t>致：北京北咨工程咨询有限公司：</w:t>
      </w:r>
    </w:p>
    <w:p>
      <w:pPr>
        <w:pStyle w:val="19"/>
        <w:tabs>
          <w:tab w:val="left" w:pos="5580"/>
        </w:tabs>
        <w:spacing w:line="360" w:lineRule="auto"/>
        <w:rPr>
          <w:rFonts w:hAnsi="宋体"/>
          <w:color w:val="auto"/>
        </w:rPr>
      </w:pPr>
    </w:p>
    <w:p>
      <w:pPr>
        <w:pStyle w:val="19"/>
        <w:spacing w:line="360" w:lineRule="auto"/>
        <w:ind w:firstLine="420" w:firstLineChars="200"/>
        <w:rPr>
          <w:rFonts w:hAnsi="宋体"/>
          <w:color w:val="auto"/>
        </w:rPr>
      </w:pPr>
      <w:r>
        <w:rPr>
          <w:rFonts w:hint="eastAsia" w:hAnsi="宋体"/>
          <w:color w:val="auto"/>
        </w:rPr>
        <w:t>我们在贵公司组织的</w:t>
      </w:r>
      <w:r>
        <w:rPr>
          <w:rFonts w:hint="eastAsia" w:hAnsi="宋体"/>
          <w:color w:val="auto"/>
          <w:u w:val="single"/>
        </w:rPr>
        <w:tab/>
      </w:r>
      <w:r>
        <w:rPr>
          <w:rFonts w:hint="eastAsia" w:hAnsi="宋体"/>
          <w:color w:val="auto"/>
          <w:u w:val="single"/>
        </w:rPr>
        <w:tab/>
      </w:r>
      <w:r>
        <w:rPr>
          <w:rFonts w:hint="eastAsia" w:hAnsi="宋体"/>
          <w:color w:val="auto"/>
        </w:rPr>
        <w:t>项目竞争性磋商中若获成交（磋商文件编号：</w:t>
      </w:r>
      <w:r>
        <w:rPr>
          <w:rFonts w:hint="eastAsia" w:hAnsi="宋体"/>
          <w:color w:val="auto"/>
          <w:u w:val="single"/>
        </w:rPr>
        <w:tab/>
      </w:r>
      <w:r>
        <w:rPr>
          <w:rFonts w:hint="eastAsia" w:hAnsi="宋体"/>
          <w:color w:val="auto"/>
          <w:u w:val="single"/>
        </w:rPr>
        <w:tab/>
      </w:r>
      <w:r>
        <w:rPr>
          <w:rFonts w:hint="eastAsia" w:hAnsi="宋体"/>
          <w:color w:val="auto"/>
        </w:rPr>
        <w:t>），我们保证在签定服务合同的同时按磋商文件的规定，以支票、汇票的方式向贵公司即北京北咨工程咨询有限公司一次性支付应该交纳的成交服务费用。收费标准参照国家计委印发的计价格[2002]1980号关于《招标代理机构服务费管理暂行办法》和[2003]857号文关于《招标代理服务收费有关问题的通知》。</w:t>
      </w:r>
    </w:p>
    <w:p>
      <w:pPr>
        <w:pStyle w:val="19"/>
        <w:tabs>
          <w:tab w:val="left" w:pos="5580"/>
        </w:tabs>
        <w:spacing w:line="360" w:lineRule="auto"/>
        <w:rPr>
          <w:rFonts w:hAnsi="宋体"/>
          <w:color w:val="auto"/>
        </w:rPr>
      </w:pPr>
    </w:p>
    <w:p>
      <w:pPr>
        <w:pStyle w:val="19"/>
        <w:spacing w:line="360" w:lineRule="auto"/>
        <w:rPr>
          <w:rFonts w:hAnsi="宋体"/>
          <w:color w:val="auto"/>
        </w:rPr>
      </w:pPr>
      <w:r>
        <w:rPr>
          <w:rFonts w:hint="eastAsia" w:hAnsi="宋体"/>
          <w:color w:val="auto"/>
        </w:rPr>
        <w:t>特此承诺！</w:t>
      </w:r>
    </w:p>
    <w:p>
      <w:pPr>
        <w:pStyle w:val="19"/>
        <w:tabs>
          <w:tab w:val="left" w:pos="5580"/>
        </w:tabs>
        <w:spacing w:line="360" w:lineRule="auto"/>
        <w:rPr>
          <w:rFonts w:hAnsi="宋体"/>
          <w:color w:val="auto"/>
        </w:rPr>
      </w:pPr>
    </w:p>
    <w:p>
      <w:pPr>
        <w:pStyle w:val="19"/>
        <w:spacing w:line="360" w:lineRule="auto"/>
        <w:ind w:firstLine="420" w:firstLineChars="200"/>
        <w:rPr>
          <w:rFonts w:hAnsi="宋体"/>
          <w:color w:val="auto"/>
        </w:rPr>
      </w:pPr>
      <w:r>
        <w:rPr>
          <w:rFonts w:hint="eastAsia" w:hAnsi="宋体"/>
          <w:color w:val="auto"/>
        </w:rPr>
        <w:t>投标人名称（盖章）：</w:t>
      </w:r>
    </w:p>
    <w:p>
      <w:pPr>
        <w:pStyle w:val="19"/>
        <w:spacing w:line="360" w:lineRule="auto"/>
        <w:ind w:firstLine="420" w:firstLineChars="200"/>
        <w:rPr>
          <w:rFonts w:hAnsi="宋体"/>
          <w:color w:val="auto"/>
        </w:rPr>
      </w:pPr>
      <w:r>
        <w:rPr>
          <w:rFonts w:hint="eastAsia" w:hAnsi="宋体"/>
          <w:color w:val="auto"/>
        </w:rPr>
        <w:t>授权代表（签字）：</w:t>
      </w:r>
    </w:p>
    <w:p>
      <w:pPr>
        <w:pStyle w:val="19"/>
        <w:spacing w:line="360" w:lineRule="auto"/>
        <w:ind w:firstLine="420" w:firstLineChars="200"/>
        <w:rPr>
          <w:rFonts w:hAnsi="宋体"/>
          <w:color w:val="auto"/>
        </w:rPr>
      </w:pPr>
      <w:r>
        <w:rPr>
          <w:rFonts w:hint="eastAsia" w:hAnsi="宋体"/>
          <w:color w:val="auto"/>
        </w:rPr>
        <w:t>地址：</w:t>
      </w:r>
    </w:p>
    <w:p>
      <w:pPr>
        <w:pStyle w:val="19"/>
        <w:spacing w:line="360" w:lineRule="auto"/>
        <w:ind w:firstLine="420" w:firstLineChars="200"/>
        <w:rPr>
          <w:rFonts w:hAnsi="宋体"/>
          <w:color w:val="auto"/>
        </w:rPr>
      </w:pPr>
      <w:r>
        <w:rPr>
          <w:rFonts w:hint="eastAsia" w:hAnsi="宋体"/>
          <w:color w:val="auto"/>
        </w:rPr>
        <w:t>邮编</w:t>
      </w:r>
    </w:p>
    <w:p>
      <w:pPr>
        <w:pStyle w:val="19"/>
        <w:spacing w:line="360" w:lineRule="auto"/>
        <w:ind w:firstLine="420" w:firstLineChars="200"/>
        <w:rPr>
          <w:rFonts w:hAnsi="宋体"/>
          <w:color w:val="auto"/>
        </w:rPr>
      </w:pPr>
      <w:r>
        <w:rPr>
          <w:rFonts w:hint="eastAsia" w:hAnsi="宋体"/>
          <w:color w:val="auto"/>
        </w:rPr>
        <w:t>电话：</w:t>
      </w:r>
    </w:p>
    <w:p>
      <w:pPr>
        <w:pStyle w:val="19"/>
        <w:spacing w:line="360" w:lineRule="auto"/>
        <w:ind w:firstLine="420" w:firstLineChars="200"/>
        <w:rPr>
          <w:rFonts w:hAnsi="宋体"/>
          <w:color w:val="auto"/>
        </w:rPr>
      </w:pPr>
      <w:r>
        <w:rPr>
          <w:rFonts w:hint="eastAsia" w:hAnsi="宋体"/>
          <w:color w:val="auto"/>
        </w:rPr>
        <w:t>传真：</w:t>
      </w:r>
    </w:p>
    <w:p>
      <w:pPr>
        <w:pStyle w:val="19"/>
        <w:spacing w:line="360" w:lineRule="auto"/>
        <w:ind w:firstLine="420" w:firstLineChars="200"/>
        <w:rPr>
          <w:rFonts w:hAnsi="宋体"/>
          <w:color w:val="auto"/>
        </w:rPr>
      </w:pPr>
      <w:r>
        <w:rPr>
          <w:rFonts w:hint="eastAsia" w:hAnsi="宋体"/>
          <w:color w:val="auto"/>
        </w:rPr>
        <w:t>日期：</w:t>
      </w:r>
    </w:p>
    <w:p>
      <w:pPr>
        <w:pStyle w:val="3"/>
        <w:spacing w:before="0" w:line="360" w:lineRule="auto"/>
        <w:rPr>
          <w:rFonts w:ascii="宋体" w:hAnsi="宋体" w:eastAsia="宋体"/>
          <w:color w:val="auto"/>
          <w:sz w:val="21"/>
          <w:szCs w:val="21"/>
        </w:rPr>
      </w:pPr>
      <w:r>
        <w:rPr>
          <w:rFonts w:hint="eastAsia" w:ascii="宋体" w:hAnsi="宋体" w:eastAsia="宋体"/>
          <w:b w:val="0"/>
          <w:color w:val="auto"/>
          <w:sz w:val="21"/>
          <w:szCs w:val="21"/>
        </w:rPr>
        <w:br w:type="page"/>
      </w:r>
      <w:bookmarkStart w:id="317" w:name="_Toc27064312"/>
      <w:bookmarkStart w:id="318" w:name="_Toc27062002"/>
      <w:bookmarkStart w:id="319" w:name="_Toc22240"/>
      <w:bookmarkStart w:id="320" w:name="_Toc4344"/>
      <w:r>
        <w:rPr>
          <w:rFonts w:hint="eastAsia" w:ascii="宋体" w:hAnsi="宋体" w:eastAsia="宋体"/>
          <w:color w:val="auto"/>
          <w:sz w:val="21"/>
          <w:szCs w:val="21"/>
        </w:rPr>
        <w:t>附件7资格证明文件</w:t>
      </w:r>
      <w:bookmarkEnd w:id="317"/>
      <w:bookmarkEnd w:id="318"/>
      <w:bookmarkEnd w:id="319"/>
      <w:bookmarkEnd w:id="320"/>
    </w:p>
    <w:p>
      <w:pPr>
        <w:pStyle w:val="7"/>
        <w:rPr>
          <w:rFonts w:hAnsi="宋体"/>
          <w:color w:val="auto"/>
        </w:rPr>
      </w:pPr>
    </w:p>
    <w:p>
      <w:pPr>
        <w:pStyle w:val="3"/>
        <w:rPr>
          <w:rFonts w:ascii="宋体" w:hAnsi="宋体" w:eastAsia="宋体"/>
          <w:color w:val="auto"/>
          <w:sz w:val="21"/>
          <w:szCs w:val="21"/>
        </w:rPr>
      </w:pPr>
      <w:bookmarkStart w:id="321" w:name="_Toc27064313"/>
      <w:bookmarkStart w:id="322" w:name="_Toc27062003"/>
      <w:bookmarkStart w:id="323" w:name="_Toc5799"/>
      <w:bookmarkStart w:id="324" w:name="_Toc14954"/>
      <w:r>
        <w:rPr>
          <w:rFonts w:hint="eastAsia" w:ascii="宋体" w:hAnsi="宋体" w:eastAsia="宋体"/>
          <w:color w:val="auto"/>
          <w:sz w:val="21"/>
          <w:szCs w:val="21"/>
        </w:rPr>
        <w:t>附件7.1 法定代表人授权书</w:t>
      </w:r>
      <w:bookmarkEnd w:id="321"/>
      <w:bookmarkEnd w:id="322"/>
      <w:bookmarkEnd w:id="323"/>
      <w:bookmarkEnd w:id="324"/>
    </w:p>
    <w:p>
      <w:pPr>
        <w:pStyle w:val="7"/>
        <w:rPr>
          <w:rFonts w:hAnsi="宋体"/>
          <w:color w:val="auto"/>
        </w:rPr>
      </w:pPr>
    </w:p>
    <w:p>
      <w:pPr>
        <w:spacing w:line="360" w:lineRule="auto"/>
        <w:rPr>
          <w:rFonts w:ascii="宋体" w:hAnsi="宋体"/>
          <w:b/>
          <w:color w:val="auto"/>
        </w:rPr>
      </w:pPr>
      <w:r>
        <w:rPr>
          <w:rFonts w:hint="eastAsia" w:ascii="宋体" w:hAnsi="宋体"/>
          <w:b/>
          <w:color w:val="auto"/>
        </w:rPr>
        <w:t>（如法定代表人亲自签字参加投标，则不需此件）</w:t>
      </w:r>
    </w:p>
    <w:p>
      <w:pPr>
        <w:spacing w:line="360" w:lineRule="auto"/>
        <w:rPr>
          <w:rFonts w:ascii="宋体" w:hAnsi="宋体"/>
          <w:color w:val="auto"/>
        </w:rPr>
      </w:pPr>
    </w:p>
    <w:p>
      <w:pPr>
        <w:pStyle w:val="19"/>
        <w:jc w:val="center"/>
        <w:rPr>
          <w:rFonts w:hAnsi="宋体"/>
          <w:b/>
          <w:bCs/>
          <w:color w:val="auto"/>
        </w:rPr>
      </w:pPr>
      <w:r>
        <w:rPr>
          <w:rFonts w:hint="eastAsia" w:hAnsi="宋体"/>
          <w:b/>
          <w:bCs/>
          <w:color w:val="auto"/>
        </w:rPr>
        <w:t>法定代表人授权书</w:t>
      </w:r>
    </w:p>
    <w:p>
      <w:pPr>
        <w:spacing w:line="360" w:lineRule="auto"/>
        <w:rPr>
          <w:rFonts w:ascii="宋体" w:hAnsi="宋体"/>
          <w:color w:val="auto"/>
        </w:rPr>
      </w:pPr>
    </w:p>
    <w:p>
      <w:pPr>
        <w:spacing w:line="360" w:lineRule="auto"/>
        <w:rPr>
          <w:rFonts w:ascii="宋体" w:hAnsi="宋体"/>
          <w:color w:val="auto"/>
        </w:rPr>
      </w:pPr>
      <w:r>
        <w:rPr>
          <w:rFonts w:hint="eastAsia" w:ascii="宋体" w:hAnsi="宋体"/>
          <w:color w:val="auto"/>
        </w:rPr>
        <w:t>北京北咨工程咨询有限公司：</w:t>
      </w:r>
    </w:p>
    <w:p>
      <w:pPr>
        <w:spacing w:line="360" w:lineRule="auto"/>
        <w:rPr>
          <w:rFonts w:ascii="宋体" w:hAnsi="宋体"/>
          <w:color w:val="auto"/>
        </w:rPr>
      </w:pPr>
      <w:r>
        <w:rPr>
          <w:rFonts w:hint="eastAsia" w:ascii="宋体" w:hAnsi="宋体"/>
          <w:color w:val="auto"/>
        </w:rPr>
        <w:t>（供应商单位名称）的法定代表人授权 （</w:t>
      </w:r>
      <w:r>
        <w:rPr>
          <w:rFonts w:hint="eastAsia" w:ascii="宋体" w:hAnsi="宋体"/>
          <w:color w:val="auto"/>
          <w:u w:val="single"/>
        </w:rPr>
        <w:t>授权代表姓名</w:t>
      </w:r>
      <w:r>
        <w:rPr>
          <w:rFonts w:hint="eastAsia" w:ascii="宋体" w:hAnsi="宋体"/>
          <w:color w:val="auto"/>
        </w:rPr>
        <w:t>）为授权代表，参加贵处组织的项目（项目编号：）竞争性磋商活动，全权处理磋商活动中的一切事宜。</w:t>
      </w:r>
    </w:p>
    <w:p>
      <w:pPr>
        <w:spacing w:line="360" w:lineRule="auto"/>
        <w:rPr>
          <w:rFonts w:ascii="宋体" w:hAnsi="宋体"/>
          <w:color w:val="auto"/>
        </w:rPr>
      </w:pPr>
    </w:p>
    <w:p>
      <w:pPr>
        <w:spacing w:line="360" w:lineRule="auto"/>
        <w:rPr>
          <w:rFonts w:ascii="宋体" w:hAnsi="宋体"/>
          <w:color w:val="auto"/>
        </w:rPr>
      </w:pPr>
      <w:r>
        <w:rPr>
          <w:rFonts w:hint="eastAsia" w:ascii="宋体" w:hAnsi="宋体"/>
          <w:color w:val="auto"/>
        </w:rPr>
        <w:t>法定代表人签字或盖章：</w:t>
      </w:r>
    </w:p>
    <w:p>
      <w:pPr>
        <w:spacing w:line="360" w:lineRule="auto"/>
        <w:rPr>
          <w:rFonts w:ascii="宋体" w:hAnsi="宋体"/>
          <w:color w:val="auto"/>
        </w:rPr>
      </w:pPr>
      <w:r>
        <w:rPr>
          <w:rFonts w:hint="eastAsia" w:ascii="宋体" w:hAnsi="宋体"/>
          <w:color w:val="auto"/>
        </w:rPr>
        <w:t>供应商单位名称（加盖公章）</w:t>
      </w:r>
    </w:p>
    <w:p>
      <w:pPr>
        <w:pStyle w:val="19"/>
        <w:tabs>
          <w:tab w:val="left" w:pos="5580"/>
        </w:tabs>
        <w:spacing w:before="120" w:line="22" w:lineRule="atLeast"/>
        <w:ind w:firstLine="525" w:firstLineChars="250"/>
        <w:rPr>
          <w:rFonts w:hAnsi="宋体"/>
          <w:color w:val="auto"/>
        </w:rPr>
      </w:pPr>
      <w:r>
        <w:rPr>
          <w:rFonts w:hint="eastAsia" w:hAnsi="宋体"/>
          <w:color w:val="auto"/>
        </w:rPr>
        <w:t>年  月  日</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r>
        <w:rPr>
          <w:rFonts w:hint="eastAsia" w:ascii="宋体" w:hAnsi="宋体"/>
          <w:color w:val="auto"/>
        </w:rPr>
        <w:t>授权代表签字：</w:t>
      </w:r>
    </w:p>
    <w:p>
      <w:pPr>
        <w:spacing w:line="360" w:lineRule="auto"/>
        <w:rPr>
          <w:rFonts w:ascii="宋体" w:hAnsi="宋体"/>
          <w:color w:val="auto"/>
        </w:rPr>
      </w:pPr>
      <w:r>
        <w:rPr>
          <w:rFonts w:hint="eastAsia" w:ascii="宋体" w:hAnsi="宋体"/>
          <w:color w:val="auto"/>
        </w:rPr>
        <w:t>职务：</w:t>
      </w:r>
    </w:p>
    <w:p>
      <w:pPr>
        <w:spacing w:line="360" w:lineRule="auto"/>
        <w:rPr>
          <w:rFonts w:ascii="宋体" w:hAnsi="宋体"/>
          <w:color w:val="auto"/>
        </w:rPr>
      </w:pPr>
      <w:r>
        <w:rPr>
          <w:rFonts w:hint="eastAsia" w:ascii="宋体" w:hAnsi="宋体"/>
          <w:color w:val="auto"/>
        </w:rPr>
        <w:t>详细通讯地址：</w:t>
      </w:r>
    </w:p>
    <w:p>
      <w:pPr>
        <w:spacing w:line="360" w:lineRule="auto"/>
        <w:rPr>
          <w:rFonts w:ascii="宋体" w:hAnsi="宋体"/>
          <w:color w:val="auto"/>
        </w:rPr>
      </w:pPr>
      <w:r>
        <w:rPr>
          <w:rFonts w:hint="eastAsia" w:ascii="宋体" w:hAnsi="宋体"/>
          <w:color w:val="auto"/>
        </w:rPr>
        <w:t>邮政编码：</w:t>
      </w:r>
    </w:p>
    <w:p>
      <w:pPr>
        <w:spacing w:line="360" w:lineRule="auto"/>
        <w:rPr>
          <w:rFonts w:ascii="宋体" w:hAnsi="宋体"/>
          <w:color w:val="auto"/>
        </w:rPr>
      </w:pPr>
      <w:r>
        <w:rPr>
          <w:rFonts w:hint="eastAsia" w:ascii="宋体" w:hAnsi="宋体"/>
          <w:color w:val="auto"/>
        </w:rPr>
        <w:t>传真：</w:t>
      </w:r>
    </w:p>
    <w:p>
      <w:pPr>
        <w:spacing w:line="360" w:lineRule="auto"/>
        <w:rPr>
          <w:rFonts w:ascii="宋体" w:hAnsi="宋体"/>
          <w:color w:val="auto"/>
        </w:rPr>
      </w:pPr>
      <w:r>
        <w:rPr>
          <w:rFonts w:hint="eastAsia" w:ascii="宋体" w:hAnsi="宋体"/>
          <w:color w:val="auto"/>
        </w:rPr>
        <w:t>电话：</w:t>
      </w:r>
    </w:p>
    <w:p>
      <w:pPr>
        <w:spacing w:line="360" w:lineRule="auto"/>
        <w:rPr>
          <w:rFonts w:ascii="宋体" w:hAnsi="宋体"/>
          <w:color w:val="auto"/>
        </w:rPr>
      </w:pPr>
    </w:p>
    <w:p>
      <w:pPr>
        <w:spacing w:line="360" w:lineRule="auto"/>
        <w:rPr>
          <w:rFonts w:ascii="宋体" w:hAnsi="宋体"/>
          <w:color w:val="auto"/>
        </w:rPr>
      </w:pPr>
      <w:r>
        <w:rPr>
          <w:rFonts w:hint="eastAsia" w:ascii="宋体" w:hAnsi="宋体"/>
          <w:color w:val="auto"/>
        </w:rPr>
        <w:t>附：法定代表人身份证复印件及被授权人身份证复印件。</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3"/>
        <w:keepNext w:val="0"/>
        <w:pageBreakBefore/>
        <w:rPr>
          <w:rFonts w:ascii="宋体" w:hAnsi="宋体" w:eastAsia="宋体"/>
          <w:color w:val="auto"/>
          <w:sz w:val="21"/>
          <w:szCs w:val="21"/>
        </w:rPr>
      </w:pPr>
      <w:bookmarkStart w:id="325" w:name="_Toc27064314"/>
      <w:bookmarkStart w:id="326" w:name="_Toc27062004"/>
      <w:bookmarkStart w:id="327" w:name="_Toc11089"/>
      <w:bookmarkStart w:id="328" w:name="_Toc2437"/>
      <w:r>
        <w:rPr>
          <w:rFonts w:hint="eastAsia" w:ascii="宋体" w:hAnsi="宋体" w:eastAsia="宋体"/>
          <w:color w:val="auto"/>
          <w:sz w:val="21"/>
          <w:szCs w:val="21"/>
        </w:rPr>
        <w:t>附件7.2 营业执照或法人证书（复印件加盖单位公章）</w:t>
      </w:r>
      <w:bookmarkEnd w:id="325"/>
      <w:bookmarkEnd w:id="326"/>
      <w:bookmarkEnd w:id="327"/>
      <w:bookmarkEnd w:id="328"/>
    </w:p>
    <w:p>
      <w:pPr>
        <w:pStyle w:val="7"/>
        <w:rPr>
          <w:color w:val="auto"/>
        </w:rPr>
      </w:pPr>
    </w:p>
    <w:p>
      <w:pPr>
        <w:pStyle w:val="7"/>
        <w:rPr>
          <w:color w:val="auto"/>
        </w:rPr>
      </w:pPr>
    </w:p>
    <w:p>
      <w:pPr>
        <w:pStyle w:val="7"/>
        <w:rPr>
          <w:color w:val="auto"/>
        </w:rPr>
      </w:pPr>
    </w:p>
    <w:p>
      <w:pPr>
        <w:pStyle w:val="7"/>
        <w:rPr>
          <w:color w:val="auto"/>
          <w:sz w:val="18"/>
          <w:szCs w:val="18"/>
        </w:rPr>
      </w:pPr>
    </w:p>
    <w:p>
      <w:pPr>
        <w:pStyle w:val="7"/>
        <w:rPr>
          <w:color w:val="auto"/>
        </w:rPr>
      </w:pPr>
    </w:p>
    <w:p>
      <w:pPr>
        <w:pStyle w:val="3"/>
        <w:keepNext w:val="0"/>
        <w:pageBreakBefore/>
        <w:rPr>
          <w:rFonts w:ascii="宋体" w:hAnsi="宋体" w:eastAsia="宋体"/>
          <w:color w:val="auto"/>
          <w:sz w:val="21"/>
          <w:szCs w:val="21"/>
        </w:rPr>
      </w:pPr>
      <w:bookmarkStart w:id="329" w:name="_Toc27062005"/>
      <w:bookmarkStart w:id="330" w:name="_Toc27064315"/>
      <w:bookmarkStart w:id="331" w:name="_Toc4931"/>
      <w:bookmarkStart w:id="332" w:name="_Toc23887"/>
      <w:r>
        <w:rPr>
          <w:rFonts w:hint="eastAsia" w:ascii="宋体" w:hAnsi="宋体" w:eastAsia="宋体"/>
          <w:color w:val="auto"/>
          <w:sz w:val="21"/>
          <w:szCs w:val="21"/>
        </w:rPr>
        <w:t>附件7.3 供应商资格声明</w:t>
      </w:r>
      <w:bookmarkEnd w:id="329"/>
      <w:bookmarkEnd w:id="330"/>
      <w:bookmarkEnd w:id="331"/>
      <w:bookmarkEnd w:id="332"/>
    </w:p>
    <w:p>
      <w:pPr>
        <w:pStyle w:val="19"/>
        <w:jc w:val="center"/>
        <w:rPr>
          <w:rFonts w:hAnsi="宋体"/>
          <w:color w:val="auto"/>
        </w:rPr>
      </w:pPr>
    </w:p>
    <w:p>
      <w:pPr>
        <w:pStyle w:val="19"/>
        <w:jc w:val="center"/>
        <w:rPr>
          <w:rFonts w:hAnsi="宋体"/>
          <w:color w:val="auto"/>
        </w:rPr>
      </w:pPr>
      <w:r>
        <w:rPr>
          <w:rFonts w:hint="eastAsia" w:hAnsi="宋体"/>
          <w:color w:val="auto"/>
        </w:rPr>
        <w:t>供应商资格声明</w:t>
      </w:r>
    </w:p>
    <w:p>
      <w:pPr>
        <w:pStyle w:val="17"/>
        <w:spacing w:after="0" w:line="360" w:lineRule="auto"/>
        <w:ind w:left="0" w:leftChars="0" w:firstLine="420" w:firstLineChars="200"/>
        <w:rPr>
          <w:rFonts w:ascii="宋体" w:hAnsi="宋体"/>
          <w:color w:val="auto"/>
          <w:sz w:val="21"/>
          <w:szCs w:val="21"/>
        </w:rPr>
      </w:pPr>
      <w:r>
        <w:rPr>
          <w:rFonts w:hint="eastAsia" w:ascii="宋体" w:hAnsi="宋体"/>
          <w:color w:val="auto"/>
          <w:sz w:val="21"/>
          <w:szCs w:val="21"/>
        </w:rPr>
        <w:t>1、基本情况：</w:t>
      </w:r>
    </w:p>
    <w:p>
      <w:pPr>
        <w:pStyle w:val="17"/>
        <w:spacing w:after="0" w:line="360" w:lineRule="auto"/>
        <w:ind w:left="0" w:leftChars="0" w:firstLine="420" w:firstLineChars="200"/>
        <w:rPr>
          <w:rFonts w:ascii="宋体" w:hAnsi="宋体"/>
          <w:color w:val="auto"/>
          <w:sz w:val="21"/>
          <w:szCs w:val="21"/>
        </w:rPr>
      </w:pPr>
      <w:r>
        <w:rPr>
          <w:rFonts w:hint="eastAsia" w:ascii="宋体" w:hAnsi="宋体"/>
          <w:color w:val="auto"/>
          <w:sz w:val="21"/>
          <w:szCs w:val="21"/>
        </w:rPr>
        <w:t xml:space="preserve">（1）供应商名称：                            </w:t>
      </w:r>
    </w:p>
    <w:p>
      <w:pPr>
        <w:tabs>
          <w:tab w:val="left" w:pos="4320"/>
        </w:tabs>
        <w:spacing w:line="360" w:lineRule="auto"/>
        <w:ind w:firstLine="420" w:firstLineChars="200"/>
        <w:rPr>
          <w:rFonts w:ascii="宋体" w:hAnsi="宋体"/>
          <w:color w:val="auto"/>
        </w:rPr>
      </w:pPr>
      <w:r>
        <w:rPr>
          <w:rFonts w:hint="eastAsia" w:ascii="宋体" w:hAnsi="宋体"/>
          <w:color w:val="auto"/>
        </w:rPr>
        <w:t>（2）地址：_______________________</w:t>
      </w:r>
      <w:r>
        <w:rPr>
          <w:rFonts w:hint="eastAsia" w:ascii="宋体" w:hAnsi="宋体"/>
          <w:color w:val="auto"/>
        </w:rPr>
        <w:tab/>
      </w:r>
      <w:r>
        <w:rPr>
          <w:rFonts w:hint="eastAsia" w:ascii="宋体" w:hAnsi="宋体"/>
          <w:color w:val="auto"/>
        </w:rPr>
        <w:t>邮编：______________________</w:t>
      </w:r>
    </w:p>
    <w:p>
      <w:pPr>
        <w:tabs>
          <w:tab w:val="left" w:pos="600"/>
          <w:tab w:val="left" w:pos="4320"/>
        </w:tabs>
        <w:spacing w:line="360" w:lineRule="auto"/>
        <w:rPr>
          <w:rFonts w:ascii="宋体" w:hAnsi="宋体"/>
          <w:color w:val="auto"/>
        </w:rPr>
      </w:pPr>
      <w:r>
        <w:rPr>
          <w:rFonts w:hint="eastAsia" w:ascii="宋体" w:hAnsi="宋体"/>
          <w:color w:val="auto"/>
        </w:rPr>
        <w:t>电话：________________________  传真：_______________________</w:t>
      </w:r>
    </w:p>
    <w:p>
      <w:pPr>
        <w:spacing w:line="360" w:lineRule="auto"/>
        <w:rPr>
          <w:rFonts w:ascii="宋体" w:hAnsi="宋体"/>
          <w:color w:val="auto"/>
        </w:rPr>
      </w:pPr>
      <w:r>
        <w:rPr>
          <w:rFonts w:hint="eastAsia" w:ascii="宋体" w:hAnsi="宋体"/>
          <w:color w:val="auto"/>
        </w:rPr>
        <w:t xml:space="preserve">　　（3）成立和/或注册日期：                       </w:t>
      </w:r>
    </w:p>
    <w:p>
      <w:pPr>
        <w:spacing w:line="360" w:lineRule="auto"/>
        <w:ind w:firstLine="420" w:firstLineChars="200"/>
        <w:rPr>
          <w:rFonts w:ascii="宋体" w:hAnsi="宋体"/>
          <w:color w:val="auto"/>
        </w:rPr>
      </w:pPr>
      <w:r>
        <w:rPr>
          <w:rFonts w:hint="eastAsia" w:ascii="宋体" w:hAnsi="宋体"/>
          <w:color w:val="auto"/>
        </w:rPr>
        <w:t xml:space="preserve">（4）企业性质：                                </w:t>
      </w:r>
    </w:p>
    <w:p>
      <w:pPr>
        <w:spacing w:line="360" w:lineRule="auto"/>
        <w:ind w:firstLine="420" w:firstLineChars="200"/>
        <w:rPr>
          <w:rFonts w:ascii="宋体" w:hAnsi="宋体"/>
          <w:color w:val="auto"/>
        </w:rPr>
      </w:pPr>
      <w:r>
        <w:rPr>
          <w:rFonts w:hint="eastAsia" w:ascii="宋体" w:hAnsi="宋体"/>
          <w:color w:val="auto"/>
        </w:rPr>
        <w:t xml:space="preserve">（5）法定代表人：                    </w:t>
      </w:r>
    </w:p>
    <w:p>
      <w:pPr>
        <w:spacing w:line="360" w:lineRule="auto"/>
        <w:ind w:firstLine="420" w:firstLineChars="200"/>
        <w:rPr>
          <w:rFonts w:ascii="宋体" w:hAnsi="宋体"/>
          <w:color w:val="auto"/>
        </w:rPr>
      </w:pPr>
      <w:r>
        <w:rPr>
          <w:rFonts w:hint="eastAsia" w:ascii="宋体" w:hAnsi="宋体"/>
          <w:color w:val="auto"/>
        </w:rPr>
        <w:t>2、企业基本情况介绍（限于1500字内）</w:t>
      </w:r>
    </w:p>
    <w:p>
      <w:pPr>
        <w:pStyle w:val="14"/>
        <w:spacing w:after="0" w:line="360" w:lineRule="auto"/>
        <w:ind w:firstLine="420" w:firstLineChars="200"/>
        <w:rPr>
          <w:rFonts w:ascii="宋体" w:hAnsi="宋体"/>
          <w:color w:val="auto"/>
        </w:rPr>
      </w:pPr>
      <w:r>
        <w:rPr>
          <w:rFonts w:hint="eastAsia" w:ascii="宋体" w:hAnsi="宋体"/>
          <w:color w:val="auto"/>
        </w:rPr>
        <w:t>4、业绩情况</w:t>
      </w:r>
    </w:p>
    <w:p>
      <w:pPr>
        <w:spacing w:line="360" w:lineRule="auto"/>
        <w:ind w:firstLine="420" w:firstLineChars="200"/>
        <w:rPr>
          <w:color w:val="auto"/>
        </w:rPr>
      </w:pPr>
      <w:r>
        <w:rPr>
          <w:rFonts w:hint="eastAsia"/>
          <w:color w:val="auto"/>
        </w:rPr>
        <w:t>主要介绍近三年承担过与此次服务需求类似的业绩情况。</w:t>
      </w:r>
    </w:p>
    <w:p>
      <w:pPr>
        <w:pStyle w:val="14"/>
        <w:spacing w:after="0" w:line="360" w:lineRule="auto"/>
        <w:ind w:firstLine="420" w:firstLineChars="200"/>
        <w:rPr>
          <w:rFonts w:ascii="宋体" w:hAnsi="宋体"/>
          <w:color w:val="auto"/>
        </w:rPr>
      </w:pPr>
      <w:r>
        <w:rPr>
          <w:rFonts w:hint="eastAsia" w:ascii="宋体" w:hAnsi="宋体"/>
          <w:color w:val="auto"/>
        </w:rPr>
        <w:t>兹证明上述声明是真实的、正确的，并提供了全部能提供的资料和数据，我们同意遵照贵方要求出示有关证明文件。</w:t>
      </w:r>
    </w:p>
    <w:p>
      <w:pPr>
        <w:pStyle w:val="16"/>
        <w:spacing w:line="360" w:lineRule="auto"/>
        <w:ind w:left="840" w:hanging="420"/>
        <w:rPr>
          <w:rFonts w:ascii="宋体" w:hAnsi="宋体"/>
          <w:color w:val="auto"/>
          <w:sz w:val="21"/>
          <w:szCs w:val="21"/>
        </w:rPr>
      </w:pPr>
      <w:r>
        <w:rPr>
          <w:rFonts w:hint="eastAsia" w:ascii="宋体" w:hAnsi="宋体"/>
          <w:color w:val="auto"/>
          <w:sz w:val="21"/>
          <w:szCs w:val="21"/>
        </w:rPr>
        <w:t>供应商公章：</w:t>
      </w:r>
    </w:p>
    <w:p>
      <w:pPr>
        <w:pStyle w:val="16"/>
        <w:spacing w:line="360" w:lineRule="auto"/>
        <w:ind w:left="840" w:hanging="420"/>
        <w:rPr>
          <w:rFonts w:ascii="宋体" w:hAnsi="宋体"/>
          <w:color w:val="auto"/>
          <w:sz w:val="21"/>
          <w:szCs w:val="21"/>
        </w:rPr>
      </w:pPr>
      <w:r>
        <w:rPr>
          <w:rFonts w:hint="eastAsia" w:ascii="宋体" w:hAnsi="宋体"/>
          <w:color w:val="auto"/>
          <w:sz w:val="21"/>
          <w:szCs w:val="21"/>
        </w:rPr>
        <w:t xml:space="preserve">供应商代表签字： </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jc w:val="left"/>
        <w:rPr>
          <w:rFonts w:ascii="宋体" w:hAnsi="宋体"/>
          <w:color w:val="auto"/>
        </w:rPr>
      </w:pPr>
      <w:r>
        <w:rPr>
          <w:rFonts w:ascii="宋体" w:hAnsi="宋体"/>
          <w:color w:val="auto"/>
        </w:rPr>
        <w:br w:type="page"/>
      </w:r>
    </w:p>
    <w:p>
      <w:pPr>
        <w:pStyle w:val="3"/>
        <w:outlineLvl w:val="0"/>
        <w:rPr>
          <w:rFonts w:ascii="宋体" w:hAnsi="宋体" w:eastAsia="宋体"/>
          <w:color w:val="auto"/>
          <w:sz w:val="21"/>
          <w:szCs w:val="21"/>
        </w:rPr>
      </w:pPr>
      <w:bookmarkStart w:id="333" w:name="_Toc27062006"/>
      <w:bookmarkStart w:id="334" w:name="_Toc27064316"/>
      <w:bookmarkStart w:id="335" w:name="_Toc17355"/>
      <w:bookmarkStart w:id="336" w:name="_Toc25863"/>
      <w:bookmarkStart w:id="337" w:name="_Toc29778"/>
      <w:bookmarkStart w:id="338" w:name="_Toc1057"/>
      <w:bookmarkStart w:id="339" w:name="_Toc17078"/>
      <w:bookmarkStart w:id="340" w:name="_Toc26267"/>
      <w:r>
        <w:rPr>
          <w:rFonts w:hint="eastAsia" w:ascii="宋体" w:hAnsi="宋体" w:eastAsia="宋体"/>
          <w:color w:val="auto"/>
          <w:sz w:val="21"/>
          <w:szCs w:val="21"/>
        </w:rPr>
        <w:t>附件7.4供应商的资信证明</w:t>
      </w:r>
      <w:bookmarkEnd w:id="333"/>
      <w:bookmarkEnd w:id="334"/>
      <w:bookmarkEnd w:id="335"/>
      <w:bookmarkEnd w:id="336"/>
      <w:bookmarkEnd w:id="337"/>
      <w:bookmarkEnd w:id="338"/>
      <w:bookmarkEnd w:id="339"/>
      <w:bookmarkEnd w:id="340"/>
    </w:p>
    <w:p>
      <w:pPr>
        <w:spacing w:line="360" w:lineRule="auto"/>
        <w:rPr>
          <w:rFonts w:ascii="宋体" w:hAnsi="宋体"/>
          <w:color w:val="auto"/>
        </w:rPr>
      </w:pPr>
    </w:p>
    <w:p>
      <w:pPr>
        <w:spacing w:line="360" w:lineRule="auto"/>
        <w:ind w:firstLine="420" w:firstLineChars="200"/>
        <w:rPr>
          <w:rFonts w:ascii="宋体" w:hAnsi="宋体"/>
          <w:color w:val="auto"/>
        </w:rPr>
      </w:pPr>
      <w:r>
        <w:rPr>
          <w:rFonts w:hint="eastAsia" w:ascii="宋体" w:hAnsi="宋体"/>
          <w:color w:val="auto"/>
        </w:rPr>
        <w:t>会计师事务所出具的上一年度财务审计报告或银行出具的资信证明原件（银行存款证明无效）；</w:t>
      </w:r>
    </w:p>
    <w:p>
      <w:pPr>
        <w:rPr>
          <w:rFonts w:ascii="宋体" w:hAnsi="宋体"/>
          <w:bCs/>
          <w:color w:val="auto"/>
        </w:rPr>
      </w:pPr>
    </w:p>
    <w:p>
      <w:pPr>
        <w:pStyle w:val="7"/>
        <w:rPr>
          <w:color w:val="auto"/>
        </w:rPr>
      </w:pPr>
    </w:p>
    <w:p>
      <w:pPr>
        <w:pStyle w:val="7"/>
        <w:rPr>
          <w:color w:val="auto"/>
        </w:rPr>
      </w:pPr>
    </w:p>
    <w:p>
      <w:pPr>
        <w:pStyle w:val="7"/>
        <w:rPr>
          <w:color w:val="auto"/>
        </w:rPr>
      </w:pPr>
    </w:p>
    <w:p>
      <w:pPr>
        <w:pStyle w:val="7"/>
        <w:rPr>
          <w:color w:val="auto"/>
        </w:rPr>
      </w:pPr>
    </w:p>
    <w:p>
      <w:pPr>
        <w:widowControl/>
        <w:jc w:val="left"/>
        <w:rPr>
          <w:rFonts w:ascii="宋体" w:hAnsi="宋体"/>
          <w:b/>
          <w:color w:val="auto"/>
        </w:rPr>
      </w:pPr>
      <w:r>
        <w:rPr>
          <w:rFonts w:ascii="宋体" w:hAnsi="宋体"/>
          <w:b/>
          <w:color w:val="auto"/>
        </w:rPr>
        <w:br w:type="page"/>
      </w:r>
    </w:p>
    <w:p>
      <w:pPr>
        <w:pStyle w:val="3"/>
        <w:outlineLvl w:val="0"/>
        <w:rPr>
          <w:rFonts w:ascii="宋体" w:hAnsi="宋体"/>
          <w:color w:val="auto"/>
          <w:szCs w:val="21"/>
        </w:rPr>
      </w:pPr>
      <w:bookmarkStart w:id="341" w:name="_Toc27062007"/>
      <w:bookmarkStart w:id="342" w:name="_Toc27064317"/>
      <w:bookmarkStart w:id="343" w:name="_Toc10890"/>
      <w:bookmarkStart w:id="344" w:name="_Toc18545"/>
      <w:bookmarkStart w:id="345" w:name="_Toc14098"/>
      <w:bookmarkStart w:id="346" w:name="_Toc8033"/>
      <w:bookmarkStart w:id="347" w:name="_Toc21483"/>
      <w:bookmarkStart w:id="348" w:name="_Toc7113"/>
      <w:r>
        <w:rPr>
          <w:rFonts w:hint="eastAsia" w:ascii="宋体" w:hAnsi="宋体" w:eastAsia="宋体"/>
          <w:color w:val="auto"/>
          <w:sz w:val="21"/>
          <w:szCs w:val="21"/>
        </w:rPr>
        <w:t>附件</w:t>
      </w:r>
      <w:r>
        <w:rPr>
          <w:rFonts w:ascii="宋体" w:hAnsi="宋体" w:eastAsia="宋体"/>
          <w:color w:val="auto"/>
          <w:sz w:val="21"/>
          <w:szCs w:val="21"/>
        </w:rPr>
        <w:t>7.5社会保障资金缴纳记录</w:t>
      </w:r>
      <w:bookmarkEnd w:id="341"/>
      <w:bookmarkEnd w:id="342"/>
      <w:bookmarkEnd w:id="343"/>
      <w:bookmarkEnd w:id="344"/>
      <w:bookmarkEnd w:id="345"/>
      <w:bookmarkEnd w:id="346"/>
      <w:bookmarkEnd w:id="347"/>
      <w:bookmarkEnd w:id="348"/>
    </w:p>
    <w:p>
      <w:pPr>
        <w:spacing w:line="360" w:lineRule="auto"/>
        <w:contextualSpacing/>
        <w:rPr>
          <w:rFonts w:ascii="宋体" w:hAnsi="宋体"/>
          <w:b/>
          <w:color w:val="auto"/>
        </w:rPr>
      </w:pPr>
      <w:r>
        <w:rPr>
          <w:rFonts w:hint="eastAsia" w:ascii="Arial" w:hAnsi="Arial" w:cs="Arial"/>
          <w:color w:val="auto"/>
        </w:rPr>
        <w:t>近期</w:t>
      </w:r>
      <w:r>
        <w:rPr>
          <w:rFonts w:ascii="Arial" w:hAnsi="Arial" w:cs="Arial"/>
          <w:color w:val="auto"/>
        </w:rPr>
        <w:t>任意一个月</w:t>
      </w:r>
      <w:r>
        <w:rPr>
          <w:rFonts w:hint="eastAsia" w:ascii="宋体" w:hAnsi="宋体"/>
          <w:bCs/>
          <w:color w:val="auto"/>
        </w:rPr>
        <w:t>的社会保障缴费凭证（复印件加盖单位公章）</w:t>
      </w:r>
    </w:p>
    <w:p>
      <w:pPr>
        <w:widowControl/>
        <w:spacing w:line="360" w:lineRule="auto"/>
        <w:jc w:val="left"/>
        <w:rPr>
          <w:rFonts w:ascii="宋体" w:hAnsi="宋体"/>
          <w:b/>
          <w:color w:val="auto"/>
        </w:rPr>
      </w:pPr>
      <w:r>
        <w:rPr>
          <w:rFonts w:hint="eastAsia" w:ascii="宋体" w:hAnsi="宋体"/>
          <w:b/>
          <w:color w:val="auto"/>
        </w:rPr>
        <w:t>说明：</w:t>
      </w:r>
    </w:p>
    <w:p>
      <w:pPr>
        <w:widowControl/>
        <w:spacing w:line="360" w:lineRule="auto"/>
        <w:jc w:val="left"/>
        <w:rPr>
          <w:rFonts w:ascii="宋体" w:hAnsi="宋体"/>
          <w:b/>
          <w:color w:val="auto"/>
        </w:rPr>
      </w:pPr>
      <w:r>
        <w:rPr>
          <w:rFonts w:hint="eastAsia" w:ascii="宋体" w:hAnsi="宋体"/>
          <w:b/>
          <w:color w:val="auto"/>
        </w:rPr>
        <w:t>1.投标单位必须是依法缴纳社会保障资金的单位。</w:t>
      </w:r>
    </w:p>
    <w:p>
      <w:pPr>
        <w:widowControl/>
        <w:spacing w:line="360" w:lineRule="auto"/>
        <w:jc w:val="left"/>
        <w:rPr>
          <w:rFonts w:ascii="宋体" w:hAnsi="宋体"/>
          <w:b/>
          <w:color w:val="auto"/>
        </w:rPr>
      </w:pPr>
      <w:r>
        <w:rPr>
          <w:rFonts w:hint="eastAsia" w:ascii="宋体" w:hAnsi="宋体"/>
          <w:b/>
          <w:color w:val="auto"/>
        </w:rPr>
        <w:t>2.国家、地方工商管理部门或者其他相关管理部门对社会保障资金缴纳（如免缴）有特别政策的，必须提供相关政策文件复印件以及投标单位满足相关政策文件的证明文件。</w:t>
      </w:r>
      <w:r>
        <w:rPr>
          <w:rFonts w:ascii="宋体" w:hAnsi="宋体"/>
          <w:b/>
          <w:color w:val="auto"/>
        </w:rPr>
        <w:br w:type="page"/>
      </w:r>
    </w:p>
    <w:p>
      <w:pPr>
        <w:pStyle w:val="3"/>
        <w:outlineLvl w:val="0"/>
        <w:rPr>
          <w:rFonts w:ascii="宋体" w:hAnsi="宋体"/>
          <w:b w:val="0"/>
          <w:color w:val="auto"/>
          <w:szCs w:val="21"/>
        </w:rPr>
      </w:pPr>
      <w:bookmarkStart w:id="349" w:name="_Toc27062008"/>
      <w:bookmarkStart w:id="350" w:name="_Toc27064318"/>
      <w:bookmarkStart w:id="351" w:name="_Toc14583"/>
      <w:bookmarkStart w:id="352" w:name="_Toc31046"/>
      <w:bookmarkStart w:id="353" w:name="_Toc23212"/>
      <w:bookmarkStart w:id="354" w:name="_Toc1719"/>
      <w:bookmarkStart w:id="355" w:name="_Toc2370"/>
      <w:bookmarkStart w:id="356" w:name="_Toc28895"/>
      <w:r>
        <w:rPr>
          <w:rFonts w:hint="eastAsia" w:ascii="宋体" w:hAnsi="宋体" w:eastAsia="宋体"/>
          <w:color w:val="auto"/>
          <w:sz w:val="21"/>
          <w:szCs w:val="21"/>
        </w:rPr>
        <w:t>附件</w:t>
      </w:r>
      <w:r>
        <w:rPr>
          <w:rFonts w:ascii="宋体" w:hAnsi="宋体" w:eastAsia="宋体"/>
          <w:color w:val="auto"/>
          <w:sz w:val="21"/>
          <w:szCs w:val="21"/>
        </w:rPr>
        <w:t>7.6依法缴纳税收的完税证明</w:t>
      </w:r>
      <w:bookmarkEnd w:id="349"/>
      <w:bookmarkEnd w:id="350"/>
      <w:bookmarkEnd w:id="351"/>
      <w:bookmarkEnd w:id="352"/>
      <w:bookmarkEnd w:id="353"/>
      <w:bookmarkEnd w:id="354"/>
      <w:bookmarkEnd w:id="355"/>
      <w:bookmarkEnd w:id="356"/>
    </w:p>
    <w:p>
      <w:pPr>
        <w:spacing w:line="360" w:lineRule="auto"/>
        <w:rPr>
          <w:color w:val="auto"/>
        </w:rPr>
      </w:pPr>
      <w:r>
        <w:rPr>
          <w:rFonts w:hint="eastAsia"/>
          <w:color w:val="auto"/>
        </w:rPr>
        <w:t>近期任意一个月的企业依法缴纳税收的完税证明（复印件加盖单位公章）</w:t>
      </w:r>
    </w:p>
    <w:p>
      <w:pPr>
        <w:spacing w:line="360" w:lineRule="auto"/>
        <w:rPr>
          <w:b/>
          <w:color w:val="auto"/>
        </w:rPr>
      </w:pPr>
      <w:r>
        <w:rPr>
          <w:rFonts w:hint="eastAsia"/>
          <w:b/>
          <w:color w:val="auto"/>
        </w:rPr>
        <w:t>备注：</w:t>
      </w:r>
    </w:p>
    <w:p>
      <w:pPr>
        <w:spacing w:line="360" w:lineRule="auto"/>
        <w:rPr>
          <w:b/>
          <w:color w:val="auto"/>
        </w:rPr>
      </w:pPr>
      <w:r>
        <w:rPr>
          <w:b/>
          <w:color w:val="auto"/>
        </w:rPr>
        <w:t>1.</w:t>
      </w:r>
      <w:r>
        <w:rPr>
          <w:rFonts w:hint="eastAsia"/>
          <w:b/>
          <w:color w:val="auto"/>
        </w:rPr>
        <w:t>投标单位必须是依法纳税的单位。</w:t>
      </w:r>
    </w:p>
    <w:p>
      <w:pPr>
        <w:spacing w:line="360" w:lineRule="auto"/>
        <w:rPr>
          <w:b/>
          <w:color w:val="auto"/>
        </w:rPr>
      </w:pPr>
      <w:r>
        <w:rPr>
          <w:b/>
          <w:color w:val="auto"/>
        </w:rPr>
        <w:t>2.</w:t>
      </w:r>
      <w:r>
        <w:rPr>
          <w:rFonts w:hint="eastAsia"/>
          <w:b/>
          <w:color w:val="auto"/>
        </w:rPr>
        <w:t>单位提供依法缴纳税收的缴税证明不包括代扣代缴个人所得税缴税证明。</w:t>
      </w:r>
    </w:p>
    <w:p>
      <w:pPr>
        <w:spacing w:line="360" w:lineRule="auto"/>
        <w:rPr>
          <w:b/>
          <w:color w:val="auto"/>
        </w:rPr>
      </w:pPr>
      <w:r>
        <w:rPr>
          <w:b/>
          <w:color w:val="auto"/>
        </w:rPr>
        <w:t>3.</w:t>
      </w:r>
      <w:r>
        <w:rPr>
          <w:rFonts w:hint="eastAsia"/>
          <w:b/>
          <w:color w:val="auto"/>
        </w:rPr>
        <w:t>国家、地方工商管理部门或者其他相关管理部门对单位纳税有特别规定的，必须提供相关政策性文件复印件和投标单位满足政策文件规定的证明文件。</w:t>
      </w:r>
    </w:p>
    <w:p>
      <w:pPr>
        <w:pStyle w:val="16"/>
        <w:spacing w:line="360" w:lineRule="auto"/>
        <w:ind w:left="840" w:leftChars="400" w:firstLine="0" w:firstLineChars="0"/>
        <w:rPr>
          <w:rFonts w:ascii="宋体" w:hAnsi="宋体"/>
          <w:color w:val="auto"/>
          <w:sz w:val="21"/>
          <w:szCs w:val="21"/>
        </w:rPr>
        <w:sectPr>
          <w:pgSz w:w="11906" w:h="16838"/>
          <w:pgMar w:top="1440" w:right="1797" w:bottom="1440" w:left="1797" w:header="851" w:footer="992" w:gutter="0"/>
          <w:cols w:space="425" w:num="1"/>
          <w:docGrid w:linePitch="312" w:charSpace="0"/>
        </w:sectPr>
      </w:pPr>
    </w:p>
    <w:p>
      <w:pPr>
        <w:pStyle w:val="3"/>
        <w:pageBreakBefore/>
        <w:outlineLvl w:val="0"/>
        <w:rPr>
          <w:rFonts w:ascii="宋体" w:hAnsi="宋体" w:eastAsia="宋体"/>
          <w:color w:val="auto"/>
          <w:sz w:val="21"/>
          <w:szCs w:val="21"/>
        </w:rPr>
      </w:pPr>
      <w:bookmarkStart w:id="357" w:name="_Toc27062009"/>
      <w:bookmarkStart w:id="358" w:name="_Toc27064319"/>
      <w:bookmarkStart w:id="359" w:name="_Toc674"/>
      <w:bookmarkStart w:id="360" w:name="_Toc22329"/>
      <w:bookmarkStart w:id="361" w:name="_Toc25276"/>
      <w:bookmarkStart w:id="362" w:name="_Toc27429"/>
      <w:bookmarkStart w:id="363" w:name="_Toc12302"/>
      <w:bookmarkStart w:id="364" w:name="_Toc11754"/>
      <w:r>
        <w:rPr>
          <w:rFonts w:hint="eastAsia" w:ascii="宋体" w:hAnsi="宋体" w:eastAsia="宋体"/>
          <w:color w:val="auto"/>
          <w:sz w:val="21"/>
          <w:szCs w:val="21"/>
        </w:rPr>
        <w:t>附件7.7参加政府采购活动近三年内，在经营活动中没有重大违法记录声明</w:t>
      </w:r>
      <w:bookmarkEnd w:id="357"/>
      <w:bookmarkEnd w:id="358"/>
      <w:bookmarkEnd w:id="359"/>
      <w:bookmarkEnd w:id="360"/>
      <w:bookmarkEnd w:id="361"/>
      <w:bookmarkEnd w:id="362"/>
      <w:bookmarkEnd w:id="363"/>
      <w:bookmarkEnd w:id="364"/>
    </w:p>
    <w:p>
      <w:pPr>
        <w:pStyle w:val="7"/>
        <w:rPr>
          <w:rFonts w:hAnsi="宋体"/>
          <w:color w:val="auto"/>
        </w:rPr>
      </w:pPr>
    </w:p>
    <w:p>
      <w:pPr>
        <w:pStyle w:val="30"/>
        <w:spacing w:line="360" w:lineRule="auto"/>
        <w:rPr>
          <w:rFonts w:ascii="宋体" w:hAnsi="宋体" w:eastAsia="宋体" w:cs="宋体"/>
          <w:color w:val="auto"/>
          <w:szCs w:val="21"/>
        </w:rPr>
      </w:pPr>
      <w:r>
        <w:rPr>
          <w:rFonts w:hint="eastAsia" w:ascii="宋体" w:hAnsi="宋体" w:cs="宋体"/>
          <w:color w:val="auto"/>
          <w:szCs w:val="21"/>
          <w:u w:val="single"/>
        </w:rPr>
        <w:t>　　采购人　　</w:t>
      </w:r>
      <w:r>
        <w:rPr>
          <w:rFonts w:hint="eastAsia" w:ascii="宋体" w:hAnsi="宋体" w:eastAsia="宋体" w:cs="宋体"/>
          <w:color w:val="auto"/>
          <w:szCs w:val="21"/>
        </w:rPr>
        <w:t>：</w:t>
      </w:r>
    </w:p>
    <w:p>
      <w:pPr>
        <w:pStyle w:val="30"/>
        <w:spacing w:line="360" w:lineRule="auto"/>
        <w:rPr>
          <w:rFonts w:ascii="宋体" w:hAnsi="宋体" w:eastAsia="宋体" w:cs="宋体"/>
          <w:color w:val="auto"/>
          <w:szCs w:val="21"/>
        </w:rPr>
      </w:pPr>
    </w:p>
    <w:p>
      <w:pPr>
        <w:pStyle w:val="30"/>
        <w:spacing w:line="360" w:lineRule="auto"/>
        <w:rPr>
          <w:rFonts w:ascii="宋体" w:hAnsi="宋体" w:eastAsia="宋体"/>
          <w:color w:val="auto"/>
          <w:szCs w:val="21"/>
        </w:rPr>
      </w:pPr>
      <w:r>
        <w:rPr>
          <w:rFonts w:hint="eastAsia" w:ascii="宋体" w:hAnsi="宋体" w:eastAsia="宋体"/>
          <w:color w:val="auto"/>
          <w:szCs w:val="21"/>
        </w:rPr>
        <w:t xml:space="preserve">    本单位郑重声明，在参加政府采购活动近三年内，在经营活动中没有重大违法记录。</w:t>
      </w:r>
    </w:p>
    <w:p>
      <w:pPr>
        <w:pStyle w:val="30"/>
        <w:spacing w:line="360" w:lineRule="auto"/>
        <w:ind w:firstLine="480"/>
        <w:rPr>
          <w:rFonts w:ascii="宋体" w:hAnsi="宋体" w:eastAsia="宋体"/>
          <w:color w:val="auto"/>
          <w:szCs w:val="21"/>
        </w:rPr>
      </w:pPr>
      <w:r>
        <w:rPr>
          <w:rFonts w:hint="eastAsia" w:ascii="宋体" w:hAnsi="宋体" w:eastAsia="宋体"/>
          <w:color w:val="auto"/>
          <w:szCs w:val="21"/>
        </w:rPr>
        <w:t>我方保证投标文件中提供信息的真实和准确，并愿意承担因我方就此弄虚作假所引起的一切法律后果。</w:t>
      </w:r>
    </w:p>
    <w:p>
      <w:pPr>
        <w:pStyle w:val="30"/>
        <w:spacing w:line="360" w:lineRule="auto"/>
        <w:ind w:firstLine="480"/>
        <w:rPr>
          <w:rFonts w:ascii="宋体" w:hAnsi="宋体" w:eastAsia="宋体"/>
          <w:color w:val="auto"/>
          <w:szCs w:val="21"/>
        </w:rPr>
      </w:pPr>
    </w:p>
    <w:p>
      <w:pPr>
        <w:pStyle w:val="30"/>
        <w:spacing w:line="360" w:lineRule="auto"/>
        <w:rPr>
          <w:rFonts w:ascii="宋体" w:hAnsi="宋体" w:eastAsia="宋体"/>
          <w:color w:val="auto"/>
          <w:szCs w:val="21"/>
        </w:rPr>
      </w:pPr>
      <w:r>
        <w:rPr>
          <w:rFonts w:hint="eastAsia" w:ascii="宋体" w:hAnsi="宋体" w:eastAsia="宋体" w:cs="宋体"/>
          <w:color w:val="auto"/>
          <w:szCs w:val="21"/>
        </w:rPr>
        <w:t>特此声明。</w:t>
      </w:r>
    </w:p>
    <w:p>
      <w:pPr>
        <w:pStyle w:val="30"/>
        <w:spacing w:line="360" w:lineRule="auto"/>
        <w:rPr>
          <w:rFonts w:ascii="宋体" w:hAnsi="宋体" w:eastAsia="宋体"/>
          <w:color w:val="auto"/>
          <w:szCs w:val="21"/>
        </w:rPr>
      </w:pPr>
    </w:p>
    <w:p>
      <w:pPr>
        <w:pStyle w:val="30"/>
        <w:spacing w:line="360" w:lineRule="auto"/>
        <w:rPr>
          <w:rFonts w:ascii="宋体" w:hAnsi="宋体" w:eastAsia="宋体"/>
          <w:color w:val="auto"/>
          <w:szCs w:val="21"/>
        </w:rPr>
      </w:pPr>
    </w:p>
    <w:p>
      <w:pPr>
        <w:pStyle w:val="30"/>
        <w:spacing w:line="360" w:lineRule="auto"/>
        <w:rPr>
          <w:rFonts w:ascii="宋体" w:hAnsi="宋体" w:eastAsia="宋体"/>
          <w:color w:val="auto"/>
          <w:szCs w:val="21"/>
        </w:rPr>
      </w:pPr>
    </w:p>
    <w:p>
      <w:pPr>
        <w:pStyle w:val="19"/>
        <w:spacing w:line="360" w:lineRule="auto"/>
        <w:rPr>
          <w:rFonts w:hAnsi="宋体"/>
          <w:color w:val="auto"/>
        </w:rPr>
      </w:pPr>
      <w:r>
        <w:rPr>
          <w:rFonts w:hint="eastAsia" w:hAnsi="宋体"/>
          <w:color w:val="auto"/>
        </w:rPr>
        <w:t>法定代表人或授权代表（</w:t>
      </w:r>
      <w:r>
        <w:rPr>
          <w:rFonts w:hint="eastAsia" w:hAnsi="宋体" w:cs="宋体"/>
          <w:color w:val="auto"/>
        </w:rPr>
        <w:t>签字或盖章</w:t>
      </w:r>
      <w:r>
        <w:rPr>
          <w:rFonts w:hint="eastAsia" w:hAnsi="宋体"/>
          <w:color w:val="auto"/>
        </w:rPr>
        <w:t>）：</w:t>
      </w:r>
      <w:r>
        <w:rPr>
          <w:rFonts w:hAnsi="宋体"/>
          <w:color w:val="auto"/>
          <w:u w:val="single"/>
        </w:rPr>
        <w:tab/>
      </w:r>
      <w:r>
        <w:rPr>
          <w:rFonts w:hint="eastAsia" w:hAnsi="宋体"/>
          <w:color w:val="auto"/>
          <w:u w:val="single"/>
        </w:rPr>
        <w:t xml:space="preserve">                        </w:t>
      </w:r>
    </w:p>
    <w:p>
      <w:pPr>
        <w:pStyle w:val="19"/>
        <w:spacing w:line="360" w:lineRule="auto"/>
        <w:ind w:firstLine="210" w:firstLineChars="100"/>
        <w:rPr>
          <w:rFonts w:hAnsi="宋体"/>
          <w:color w:val="auto"/>
        </w:rPr>
      </w:pPr>
    </w:p>
    <w:p>
      <w:pPr>
        <w:pStyle w:val="19"/>
        <w:spacing w:line="360" w:lineRule="auto"/>
        <w:rPr>
          <w:rFonts w:hAnsi="宋体"/>
          <w:color w:val="auto"/>
        </w:rPr>
      </w:pPr>
      <w:r>
        <w:rPr>
          <w:rFonts w:hint="eastAsia" w:hAnsi="宋体"/>
          <w:color w:val="auto"/>
        </w:rPr>
        <w:t>投标人名称（盖章）</w:t>
      </w:r>
      <w:r>
        <w:rPr>
          <w:rFonts w:hAnsi="宋体"/>
          <w:color w:val="auto"/>
        </w:rPr>
        <w:t>:</w:t>
      </w:r>
      <w:r>
        <w:rPr>
          <w:rFonts w:hAnsi="宋体"/>
          <w:color w:val="auto"/>
          <w:u w:val="single"/>
        </w:rPr>
        <w:tab/>
      </w:r>
      <w:r>
        <w:rPr>
          <w:rFonts w:hint="eastAsia" w:hAnsi="宋体"/>
          <w:color w:val="auto"/>
          <w:u w:val="single"/>
        </w:rPr>
        <w:t xml:space="preserve">                        </w:t>
      </w:r>
      <w:r>
        <w:rPr>
          <w:rFonts w:hAnsi="宋体"/>
          <w:color w:val="auto"/>
          <w:u w:val="single"/>
        </w:rPr>
        <w:tab/>
      </w:r>
      <w:r>
        <w:rPr>
          <w:rFonts w:hint="eastAsia" w:hAnsi="宋体"/>
          <w:color w:val="auto"/>
          <w:u w:val="single"/>
        </w:rPr>
        <w:t xml:space="preserve">   </w:t>
      </w:r>
    </w:p>
    <w:p>
      <w:pPr>
        <w:pStyle w:val="30"/>
        <w:spacing w:line="360" w:lineRule="auto"/>
        <w:rPr>
          <w:rFonts w:ascii="宋体" w:hAnsi="宋体" w:eastAsia="宋体"/>
          <w:color w:val="auto"/>
          <w:szCs w:val="21"/>
        </w:rPr>
      </w:pPr>
    </w:p>
    <w:p>
      <w:pPr>
        <w:spacing w:line="360" w:lineRule="auto"/>
        <w:rPr>
          <w:rFonts w:ascii="宋体" w:hAnsi="宋体" w:cs="宋体"/>
          <w:color w:val="auto"/>
        </w:rPr>
      </w:pPr>
      <w:r>
        <w:rPr>
          <w:rFonts w:hint="eastAsia" w:ascii="宋体" w:hAnsi="宋体" w:cs="宋体"/>
          <w:color w:val="auto"/>
        </w:rPr>
        <w:t>日期：   年   月   日</w:t>
      </w:r>
    </w:p>
    <w:p>
      <w:pPr>
        <w:jc w:val="left"/>
        <w:rPr>
          <w:rFonts w:ascii="TimesNewRomanPSMT" w:hAnsi="TimesNewRomanPSMT" w:eastAsia="TimesNewRomanPSMT"/>
          <w:color w:val="auto"/>
          <w:sz w:val="18"/>
        </w:rPr>
      </w:pPr>
    </w:p>
    <w:p>
      <w:pPr>
        <w:rPr>
          <w:rFonts w:ascii="宋体" w:hAnsi="宋体"/>
          <w:bCs/>
          <w:color w:val="auto"/>
        </w:rPr>
      </w:pPr>
    </w:p>
    <w:p>
      <w:pPr>
        <w:rPr>
          <w:rFonts w:ascii="宋体" w:hAnsi="宋体"/>
          <w:bCs/>
          <w:color w:val="auto"/>
        </w:rPr>
      </w:pPr>
    </w:p>
    <w:p>
      <w:pPr>
        <w:rPr>
          <w:rFonts w:hAnsi="宋体"/>
          <w:color w:val="auto"/>
        </w:rPr>
      </w:pPr>
    </w:p>
    <w:p>
      <w:pPr>
        <w:spacing w:line="360" w:lineRule="auto"/>
        <w:rPr>
          <w:rFonts w:ascii="宋体" w:hAnsi="宋体"/>
          <w:color w:val="auto"/>
        </w:rPr>
      </w:pPr>
    </w:p>
    <w:p>
      <w:pPr>
        <w:pStyle w:val="3"/>
        <w:pageBreakBefore/>
        <w:spacing w:before="0" w:line="360" w:lineRule="auto"/>
        <w:outlineLvl w:val="0"/>
        <w:rPr>
          <w:rFonts w:ascii="宋体" w:hAnsi="宋体" w:eastAsia="宋体"/>
          <w:color w:val="auto"/>
          <w:sz w:val="21"/>
          <w:szCs w:val="21"/>
        </w:rPr>
      </w:pPr>
      <w:bookmarkStart w:id="365" w:name="_Toc27064320"/>
      <w:bookmarkStart w:id="366" w:name="_Toc27062010"/>
      <w:bookmarkStart w:id="367" w:name="_Toc20479"/>
      <w:bookmarkStart w:id="368" w:name="_Toc9979"/>
      <w:bookmarkStart w:id="369" w:name="_Toc3742"/>
      <w:bookmarkStart w:id="370" w:name="_Toc23932"/>
      <w:bookmarkStart w:id="371" w:name="_Toc8739"/>
      <w:bookmarkStart w:id="372" w:name="_Toc13136"/>
      <w:r>
        <w:rPr>
          <w:rFonts w:hint="eastAsia" w:ascii="宋体" w:hAnsi="宋体" w:eastAsia="宋体"/>
          <w:color w:val="auto"/>
          <w:sz w:val="21"/>
          <w:szCs w:val="21"/>
        </w:rPr>
        <w:t>附件8近三年业绩</w:t>
      </w:r>
      <w:bookmarkEnd w:id="365"/>
      <w:bookmarkEnd w:id="366"/>
      <w:bookmarkEnd w:id="367"/>
      <w:bookmarkEnd w:id="368"/>
      <w:bookmarkEnd w:id="369"/>
      <w:bookmarkEnd w:id="370"/>
      <w:bookmarkEnd w:id="371"/>
      <w:bookmarkEnd w:id="372"/>
    </w:p>
    <w:p>
      <w:pPr>
        <w:spacing w:line="360" w:lineRule="auto"/>
        <w:ind w:firstLine="422" w:firstLineChars="200"/>
        <w:rPr>
          <w:rFonts w:ascii="宋体" w:hAnsi="宋体"/>
          <w:b/>
          <w:color w:val="auto"/>
        </w:rPr>
      </w:pPr>
      <w:r>
        <w:rPr>
          <w:rFonts w:hint="eastAsia" w:ascii="宋体" w:hAnsi="宋体"/>
          <w:b/>
          <w:color w:val="auto"/>
        </w:rPr>
        <w:t>近三年与磋商文件中服务要求类似的业绩和合同履行情况（机构成立时间执业时间不足三年，提供自成立以来的业绩证明资料）</w:t>
      </w:r>
    </w:p>
    <w:p>
      <w:pPr>
        <w:spacing w:line="360" w:lineRule="auto"/>
        <w:ind w:firstLine="422" w:firstLineChars="200"/>
        <w:rPr>
          <w:rFonts w:ascii="宋体" w:hAnsi="宋体"/>
          <w:b/>
          <w:color w:val="auto"/>
        </w:rPr>
      </w:pPr>
      <w:r>
        <w:rPr>
          <w:rFonts w:hint="eastAsia" w:ascii="宋体" w:hAnsi="宋体"/>
          <w:b/>
          <w:bCs/>
          <w:color w:val="auto"/>
        </w:rPr>
        <w:t>已完成的与磋商文件中服务要求类似的业绩和合同履行情况</w:t>
      </w:r>
    </w:p>
    <w:tbl>
      <w:tblPr>
        <w:tblStyle w:val="36"/>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1"/>
        <w:gridCol w:w="5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tcPr>
          <w:p>
            <w:pPr>
              <w:spacing w:line="360" w:lineRule="auto"/>
              <w:rPr>
                <w:rFonts w:ascii="宋体" w:hAnsi="宋体"/>
                <w:color w:val="auto"/>
              </w:rPr>
            </w:pPr>
            <w:r>
              <w:rPr>
                <w:rFonts w:hint="eastAsia" w:ascii="宋体" w:hAnsi="宋体"/>
                <w:color w:val="auto"/>
              </w:rPr>
              <w:t>项目委托单位、联系人及电话</w:t>
            </w:r>
          </w:p>
        </w:tc>
        <w:tc>
          <w:tcPr>
            <w:tcW w:w="5011" w:type="dxa"/>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tcPr>
          <w:p>
            <w:pPr>
              <w:spacing w:line="360" w:lineRule="auto"/>
              <w:rPr>
                <w:rFonts w:ascii="宋体" w:hAnsi="宋体"/>
                <w:color w:val="auto"/>
              </w:rPr>
            </w:pPr>
            <w:r>
              <w:rPr>
                <w:rFonts w:hint="eastAsia" w:ascii="宋体" w:hAnsi="宋体"/>
                <w:color w:val="auto"/>
              </w:rPr>
              <w:t>项目名称</w:t>
            </w:r>
          </w:p>
        </w:tc>
        <w:tc>
          <w:tcPr>
            <w:tcW w:w="5011" w:type="dxa"/>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tcPr>
          <w:p>
            <w:pPr>
              <w:spacing w:line="360" w:lineRule="auto"/>
              <w:rPr>
                <w:rFonts w:ascii="宋体" w:hAnsi="宋体"/>
                <w:color w:val="auto"/>
              </w:rPr>
            </w:pPr>
            <w:r>
              <w:rPr>
                <w:rFonts w:hint="eastAsia"/>
                <w:color w:val="auto"/>
              </w:rPr>
              <w:t>项目完成的期限（</w:t>
            </w:r>
            <w:r>
              <w:rPr>
                <w:rFonts w:hint="eastAsia" w:ascii="宋体" w:hAnsi="宋体"/>
                <w:color w:val="auto"/>
              </w:rPr>
              <w:t>起/止日期）</w:t>
            </w:r>
          </w:p>
        </w:tc>
        <w:tc>
          <w:tcPr>
            <w:tcW w:w="5011" w:type="dxa"/>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tcPr>
          <w:p>
            <w:pPr>
              <w:spacing w:line="360" w:lineRule="auto"/>
              <w:rPr>
                <w:rFonts w:ascii="宋体" w:hAnsi="宋体"/>
                <w:color w:val="auto"/>
              </w:rPr>
            </w:pPr>
            <w:r>
              <w:rPr>
                <w:rFonts w:hint="eastAsia" w:ascii="宋体" w:hAnsi="宋体"/>
                <w:color w:val="auto"/>
              </w:rPr>
              <w:t>合同金额（万元）</w:t>
            </w:r>
          </w:p>
        </w:tc>
        <w:tc>
          <w:tcPr>
            <w:tcW w:w="5011" w:type="dxa"/>
          </w:tcPr>
          <w:p>
            <w:pPr>
              <w:spacing w:line="360" w:lineRule="auto"/>
              <w:rPr>
                <w:rFonts w:ascii="宋体" w:hAnsi="宋体"/>
                <w:color w:val="auto"/>
              </w:rPr>
            </w:pPr>
          </w:p>
        </w:tc>
      </w:tr>
    </w:tbl>
    <w:p>
      <w:pPr>
        <w:spacing w:line="360" w:lineRule="auto"/>
        <w:rPr>
          <w:rFonts w:ascii="宋体" w:hAnsi="宋体"/>
          <w:b/>
          <w:color w:val="auto"/>
        </w:rPr>
      </w:pPr>
    </w:p>
    <w:p>
      <w:pPr>
        <w:spacing w:line="360" w:lineRule="auto"/>
        <w:rPr>
          <w:rFonts w:ascii="宋体" w:hAnsi="宋体"/>
          <w:b/>
          <w:color w:val="auto"/>
        </w:rPr>
      </w:pPr>
      <w:r>
        <w:rPr>
          <w:rFonts w:hint="eastAsia" w:ascii="宋体" w:hAnsi="宋体"/>
          <w:b/>
          <w:color w:val="auto"/>
        </w:rPr>
        <w:t>注：</w:t>
      </w:r>
    </w:p>
    <w:p>
      <w:pPr>
        <w:spacing w:line="360" w:lineRule="auto"/>
        <w:rPr>
          <w:rFonts w:ascii="宋体" w:hAnsi="宋体"/>
          <w:color w:val="auto"/>
        </w:rPr>
      </w:pPr>
      <w:r>
        <w:rPr>
          <w:rFonts w:hint="eastAsia" w:ascii="宋体" w:hAnsi="宋体"/>
          <w:color w:val="auto"/>
        </w:rPr>
        <w:t>1、每一个业绩须提供一张上面的说明表格。</w:t>
      </w:r>
    </w:p>
    <w:p>
      <w:pPr>
        <w:spacing w:line="360" w:lineRule="auto"/>
        <w:rPr>
          <w:rFonts w:ascii="宋体" w:hAnsi="宋体"/>
          <w:color w:val="auto"/>
        </w:rPr>
      </w:pPr>
      <w:r>
        <w:rPr>
          <w:rFonts w:hint="eastAsia" w:ascii="宋体" w:hAnsi="宋体"/>
          <w:color w:val="auto"/>
        </w:rPr>
        <w:t>2、每一个业绩须附</w:t>
      </w:r>
      <w:r>
        <w:rPr>
          <w:rFonts w:ascii="Arial" w:hAnsi="Arial" w:cs="Arial"/>
          <w:color w:val="auto"/>
          <w:kern w:val="0"/>
        </w:rPr>
        <w:t>对应合同相关页的复印件予以证明（合同首页、合同金额页和盖章页复印件），</w:t>
      </w:r>
      <w:r>
        <w:rPr>
          <w:rFonts w:hint="eastAsia" w:ascii="宋体" w:hAnsi="宋体"/>
          <w:color w:val="auto"/>
        </w:rPr>
        <w:t>加盖投标单位公章。</w:t>
      </w:r>
    </w:p>
    <w:p>
      <w:pPr>
        <w:spacing w:line="360" w:lineRule="auto"/>
        <w:rPr>
          <w:rFonts w:ascii="宋体" w:hAnsi="宋体"/>
          <w:b/>
          <w:color w:val="auto"/>
        </w:rPr>
      </w:pPr>
    </w:p>
    <w:p>
      <w:pPr>
        <w:spacing w:line="360" w:lineRule="auto"/>
        <w:rPr>
          <w:rFonts w:ascii="宋体" w:hAnsi="宋体"/>
          <w:b/>
          <w:color w:val="auto"/>
        </w:rPr>
      </w:pPr>
    </w:p>
    <w:p>
      <w:pPr>
        <w:pStyle w:val="3"/>
        <w:keepNext w:val="0"/>
        <w:pageBreakBefore/>
        <w:outlineLvl w:val="0"/>
        <w:rPr>
          <w:rFonts w:ascii="宋体" w:hAnsi="宋体" w:eastAsia="宋体"/>
          <w:color w:val="auto"/>
          <w:sz w:val="21"/>
          <w:szCs w:val="21"/>
        </w:rPr>
      </w:pPr>
      <w:bookmarkStart w:id="373" w:name="_Toc27062012"/>
      <w:bookmarkStart w:id="374" w:name="_Toc27064322"/>
      <w:bookmarkStart w:id="375" w:name="_Toc3387"/>
      <w:bookmarkStart w:id="376" w:name="_Toc2582"/>
      <w:bookmarkStart w:id="377" w:name="_Toc10420"/>
      <w:bookmarkStart w:id="378" w:name="_Toc6845"/>
      <w:bookmarkStart w:id="379" w:name="_Toc10150"/>
      <w:bookmarkStart w:id="380" w:name="_Toc22842"/>
      <w:r>
        <w:rPr>
          <w:rFonts w:hint="eastAsia" w:ascii="宋体" w:hAnsi="宋体" w:eastAsia="宋体"/>
          <w:color w:val="auto"/>
          <w:sz w:val="21"/>
          <w:szCs w:val="21"/>
        </w:rPr>
        <w:t>附件9拟用于本项目的人员情况</w:t>
      </w:r>
      <w:bookmarkEnd w:id="373"/>
      <w:bookmarkEnd w:id="374"/>
      <w:bookmarkEnd w:id="375"/>
      <w:bookmarkEnd w:id="376"/>
      <w:bookmarkEnd w:id="377"/>
      <w:bookmarkEnd w:id="378"/>
      <w:bookmarkEnd w:id="379"/>
      <w:bookmarkEnd w:id="380"/>
      <w:r>
        <w:rPr>
          <w:rFonts w:hint="eastAsia" w:ascii="宋体" w:hAnsi="宋体" w:eastAsia="宋体"/>
          <w:color w:val="auto"/>
          <w:sz w:val="21"/>
          <w:szCs w:val="21"/>
        </w:rPr>
        <w:tab/>
      </w:r>
      <w:r>
        <w:rPr>
          <w:rFonts w:hint="eastAsia" w:ascii="宋体" w:hAnsi="宋体" w:eastAsia="宋体"/>
          <w:color w:val="auto"/>
          <w:sz w:val="21"/>
          <w:szCs w:val="21"/>
        </w:rPr>
        <w:tab/>
      </w:r>
    </w:p>
    <w:p>
      <w:pPr>
        <w:pStyle w:val="19"/>
        <w:rPr>
          <w:rFonts w:hAnsi="宋体"/>
          <w:color w:val="auto"/>
        </w:rPr>
      </w:pPr>
      <w:r>
        <w:rPr>
          <w:rFonts w:hint="eastAsia" w:hAnsi="宋体"/>
          <w:color w:val="auto"/>
        </w:rPr>
        <w:tab/>
      </w:r>
      <w:r>
        <w:rPr>
          <w:rFonts w:hint="eastAsia" w:hAnsi="宋体"/>
          <w:color w:val="auto"/>
        </w:rPr>
        <w:tab/>
      </w:r>
      <w:r>
        <w:rPr>
          <w:rFonts w:hint="eastAsia" w:hAnsi="宋体"/>
          <w:color w:val="auto"/>
        </w:rPr>
        <w:tab/>
      </w:r>
    </w:p>
    <w:p>
      <w:pPr>
        <w:tabs>
          <w:tab w:val="left" w:pos="1020"/>
          <w:tab w:val="left" w:pos="1920"/>
          <w:tab w:val="left" w:pos="3000"/>
          <w:tab w:val="left" w:pos="5256"/>
        </w:tabs>
        <w:spacing w:line="360" w:lineRule="auto"/>
        <w:jc w:val="left"/>
        <w:rPr>
          <w:rFonts w:ascii="宋体" w:hAnsi="宋体"/>
          <w:bCs/>
          <w:color w:val="auto"/>
        </w:rPr>
      </w:pPr>
    </w:p>
    <w:tbl>
      <w:tblPr>
        <w:tblStyle w:val="36"/>
        <w:tblW w:w="83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88"/>
        <w:gridCol w:w="816"/>
        <w:gridCol w:w="1444"/>
        <w:gridCol w:w="1461"/>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29" w:type="dxa"/>
            <w:vAlign w:val="center"/>
          </w:tcPr>
          <w:p>
            <w:pPr>
              <w:spacing w:after="84"/>
              <w:jc w:val="center"/>
              <w:rPr>
                <w:color w:val="auto"/>
              </w:rPr>
            </w:pPr>
            <w:r>
              <w:rPr>
                <w:color w:val="auto"/>
              </w:rPr>
              <w:t>序号</w:t>
            </w:r>
          </w:p>
        </w:tc>
        <w:tc>
          <w:tcPr>
            <w:tcW w:w="888" w:type="dxa"/>
            <w:vAlign w:val="center"/>
          </w:tcPr>
          <w:p>
            <w:pPr>
              <w:spacing w:after="84"/>
              <w:jc w:val="center"/>
              <w:rPr>
                <w:color w:val="auto"/>
              </w:rPr>
            </w:pPr>
            <w:r>
              <w:rPr>
                <w:color w:val="auto"/>
              </w:rPr>
              <w:t>姓名</w:t>
            </w:r>
          </w:p>
        </w:tc>
        <w:tc>
          <w:tcPr>
            <w:tcW w:w="816" w:type="dxa"/>
            <w:vAlign w:val="center"/>
          </w:tcPr>
          <w:p>
            <w:pPr>
              <w:spacing w:after="84"/>
              <w:jc w:val="center"/>
              <w:rPr>
                <w:color w:val="auto"/>
              </w:rPr>
            </w:pPr>
            <w:r>
              <w:rPr>
                <w:color w:val="auto"/>
              </w:rPr>
              <w:t>专业</w:t>
            </w:r>
          </w:p>
        </w:tc>
        <w:tc>
          <w:tcPr>
            <w:tcW w:w="1444" w:type="dxa"/>
            <w:vAlign w:val="center"/>
          </w:tcPr>
          <w:p>
            <w:pPr>
              <w:spacing w:after="84"/>
              <w:jc w:val="center"/>
              <w:rPr>
                <w:color w:val="auto"/>
              </w:rPr>
            </w:pPr>
            <w:r>
              <w:rPr>
                <w:rFonts w:hint="eastAsia"/>
                <w:color w:val="auto"/>
              </w:rPr>
              <w:t>资格证书</w:t>
            </w:r>
          </w:p>
        </w:tc>
        <w:tc>
          <w:tcPr>
            <w:tcW w:w="1461" w:type="dxa"/>
            <w:vAlign w:val="center"/>
          </w:tcPr>
          <w:p>
            <w:pPr>
              <w:spacing w:after="84"/>
              <w:jc w:val="center"/>
              <w:rPr>
                <w:color w:val="auto"/>
              </w:rPr>
            </w:pPr>
            <w:r>
              <w:rPr>
                <w:rFonts w:hint="eastAsia"/>
                <w:color w:val="auto"/>
              </w:rPr>
              <w:t>学历证书</w:t>
            </w:r>
          </w:p>
        </w:tc>
        <w:tc>
          <w:tcPr>
            <w:tcW w:w="2621" w:type="dxa"/>
            <w:vAlign w:val="center"/>
          </w:tcPr>
          <w:p>
            <w:pPr>
              <w:spacing w:after="84"/>
              <w:jc w:val="center"/>
              <w:rPr>
                <w:color w:val="auto"/>
              </w:rPr>
            </w:pPr>
            <w:r>
              <w:rPr>
                <w:color w:val="auto"/>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84"/>
              <w:jc w:val="center"/>
              <w:rPr>
                <w:color w:val="auto"/>
              </w:rPr>
            </w:pPr>
          </w:p>
        </w:tc>
        <w:tc>
          <w:tcPr>
            <w:tcW w:w="888" w:type="dxa"/>
          </w:tcPr>
          <w:p>
            <w:pPr>
              <w:spacing w:after="84"/>
              <w:jc w:val="center"/>
              <w:rPr>
                <w:color w:val="auto"/>
              </w:rPr>
            </w:pPr>
          </w:p>
        </w:tc>
        <w:tc>
          <w:tcPr>
            <w:tcW w:w="816" w:type="dxa"/>
          </w:tcPr>
          <w:p>
            <w:pPr>
              <w:spacing w:after="84"/>
              <w:jc w:val="center"/>
              <w:rPr>
                <w:color w:val="auto"/>
              </w:rPr>
            </w:pPr>
          </w:p>
        </w:tc>
        <w:tc>
          <w:tcPr>
            <w:tcW w:w="1444" w:type="dxa"/>
          </w:tcPr>
          <w:p>
            <w:pPr>
              <w:spacing w:after="84"/>
              <w:jc w:val="center"/>
              <w:rPr>
                <w:color w:val="auto"/>
              </w:rPr>
            </w:pPr>
          </w:p>
        </w:tc>
        <w:tc>
          <w:tcPr>
            <w:tcW w:w="1461" w:type="dxa"/>
          </w:tcPr>
          <w:p>
            <w:pPr>
              <w:spacing w:after="84"/>
              <w:jc w:val="center"/>
              <w:rPr>
                <w:color w:val="auto"/>
              </w:rPr>
            </w:pPr>
          </w:p>
        </w:tc>
        <w:tc>
          <w:tcPr>
            <w:tcW w:w="2621" w:type="dxa"/>
          </w:tcPr>
          <w:p>
            <w:pPr>
              <w:spacing w:after="84"/>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84"/>
              <w:jc w:val="center"/>
              <w:rPr>
                <w:color w:val="auto"/>
              </w:rPr>
            </w:pPr>
          </w:p>
        </w:tc>
        <w:tc>
          <w:tcPr>
            <w:tcW w:w="888" w:type="dxa"/>
          </w:tcPr>
          <w:p>
            <w:pPr>
              <w:spacing w:after="84"/>
              <w:jc w:val="center"/>
              <w:rPr>
                <w:color w:val="auto"/>
              </w:rPr>
            </w:pPr>
          </w:p>
        </w:tc>
        <w:tc>
          <w:tcPr>
            <w:tcW w:w="816" w:type="dxa"/>
          </w:tcPr>
          <w:p>
            <w:pPr>
              <w:spacing w:after="84"/>
              <w:jc w:val="center"/>
              <w:rPr>
                <w:color w:val="auto"/>
              </w:rPr>
            </w:pPr>
          </w:p>
        </w:tc>
        <w:tc>
          <w:tcPr>
            <w:tcW w:w="1444" w:type="dxa"/>
          </w:tcPr>
          <w:p>
            <w:pPr>
              <w:spacing w:after="84"/>
              <w:jc w:val="center"/>
              <w:rPr>
                <w:color w:val="auto"/>
              </w:rPr>
            </w:pPr>
          </w:p>
        </w:tc>
        <w:tc>
          <w:tcPr>
            <w:tcW w:w="1461" w:type="dxa"/>
          </w:tcPr>
          <w:p>
            <w:pPr>
              <w:spacing w:after="84"/>
              <w:jc w:val="center"/>
              <w:rPr>
                <w:color w:val="auto"/>
              </w:rPr>
            </w:pPr>
          </w:p>
        </w:tc>
        <w:tc>
          <w:tcPr>
            <w:tcW w:w="2621" w:type="dxa"/>
          </w:tcPr>
          <w:p>
            <w:pPr>
              <w:spacing w:after="84"/>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84"/>
              <w:jc w:val="center"/>
              <w:rPr>
                <w:color w:val="auto"/>
              </w:rPr>
            </w:pPr>
          </w:p>
        </w:tc>
        <w:tc>
          <w:tcPr>
            <w:tcW w:w="888" w:type="dxa"/>
          </w:tcPr>
          <w:p>
            <w:pPr>
              <w:spacing w:after="84"/>
              <w:jc w:val="center"/>
              <w:rPr>
                <w:color w:val="auto"/>
              </w:rPr>
            </w:pPr>
          </w:p>
        </w:tc>
        <w:tc>
          <w:tcPr>
            <w:tcW w:w="816" w:type="dxa"/>
          </w:tcPr>
          <w:p>
            <w:pPr>
              <w:spacing w:after="84"/>
              <w:jc w:val="center"/>
              <w:rPr>
                <w:color w:val="auto"/>
              </w:rPr>
            </w:pPr>
          </w:p>
        </w:tc>
        <w:tc>
          <w:tcPr>
            <w:tcW w:w="1444" w:type="dxa"/>
          </w:tcPr>
          <w:p>
            <w:pPr>
              <w:spacing w:after="84"/>
              <w:jc w:val="center"/>
              <w:rPr>
                <w:color w:val="auto"/>
              </w:rPr>
            </w:pPr>
          </w:p>
        </w:tc>
        <w:tc>
          <w:tcPr>
            <w:tcW w:w="1461" w:type="dxa"/>
          </w:tcPr>
          <w:p>
            <w:pPr>
              <w:spacing w:after="84"/>
              <w:jc w:val="center"/>
              <w:rPr>
                <w:color w:val="auto"/>
              </w:rPr>
            </w:pPr>
          </w:p>
        </w:tc>
        <w:tc>
          <w:tcPr>
            <w:tcW w:w="2621" w:type="dxa"/>
          </w:tcPr>
          <w:p>
            <w:pPr>
              <w:spacing w:after="84"/>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84"/>
              <w:jc w:val="center"/>
              <w:rPr>
                <w:color w:val="auto"/>
              </w:rPr>
            </w:pPr>
          </w:p>
        </w:tc>
        <w:tc>
          <w:tcPr>
            <w:tcW w:w="888" w:type="dxa"/>
          </w:tcPr>
          <w:p>
            <w:pPr>
              <w:spacing w:after="84"/>
              <w:jc w:val="center"/>
              <w:rPr>
                <w:color w:val="auto"/>
              </w:rPr>
            </w:pPr>
          </w:p>
        </w:tc>
        <w:tc>
          <w:tcPr>
            <w:tcW w:w="816" w:type="dxa"/>
          </w:tcPr>
          <w:p>
            <w:pPr>
              <w:spacing w:after="84"/>
              <w:jc w:val="center"/>
              <w:rPr>
                <w:color w:val="auto"/>
              </w:rPr>
            </w:pPr>
          </w:p>
        </w:tc>
        <w:tc>
          <w:tcPr>
            <w:tcW w:w="1444" w:type="dxa"/>
          </w:tcPr>
          <w:p>
            <w:pPr>
              <w:spacing w:after="84"/>
              <w:jc w:val="center"/>
              <w:rPr>
                <w:color w:val="auto"/>
              </w:rPr>
            </w:pPr>
          </w:p>
        </w:tc>
        <w:tc>
          <w:tcPr>
            <w:tcW w:w="1461" w:type="dxa"/>
          </w:tcPr>
          <w:p>
            <w:pPr>
              <w:spacing w:after="84"/>
              <w:jc w:val="center"/>
              <w:rPr>
                <w:color w:val="auto"/>
              </w:rPr>
            </w:pPr>
          </w:p>
        </w:tc>
        <w:tc>
          <w:tcPr>
            <w:tcW w:w="2621" w:type="dxa"/>
          </w:tcPr>
          <w:p>
            <w:pPr>
              <w:spacing w:after="84"/>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84"/>
              <w:jc w:val="center"/>
              <w:rPr>
                <w:color w:val="auto"/>
              </w:rPr>
            </w:pPr>
          </w:p>
        </w:tc>
        <w:tc>
          <w:tcPr>
            <w:tcW w:w="888" w:type="dxa"/>
          </w:tcPr>
          <w:p>
            <w:pPr>
              <w:spacing w:after="84"/>
              <w:jc w:val="center"/>
              <w:rPr>
                <w:color w:val="auto"/>
              </w:rPr>
            </w:pPr>
          </w:p>
        </w:tc>
        <w:tc>
          <w:tcPr>
            <w:tcW w:w="816" w:type="dxa"/>
          </w:tcPr>
          <w:p>
            <w:pPr>
              <w:spacing w:after="84"/>
              <w:jc w:val="center"/>
              <w:rPr>
                <w:color w:val="auto"/>
              </w:rPr>
            </w:pPr>
          </w:p>
        </w:tc>
        <w:tc>
          <w:tcPr>
            <w:tcW w:w="1444" w:type="dxa"/>
          </w:tcPr>
          <w:p>
            <w:pPr>
              <w:spacing w:after="84"/>
              <w:jc w:val="center"/>
              <w:rPr>
                <w:color w:val="auto"/>
              </w:rPr>
            </w:pPr>
          </w:p>
        </w:tc>
        <w:tc>
          <w:tcPr>
            <w:tcW w:w="1461" w:type="dxa"/>
          </w:tcPr>
          <w:p>
            <w:pPr>
              <w:spacing w:after="84"/>
              <w:jc w:val="center"/>
              <w:rPr>
                <w:color w:val="auto"/>
              </w:rPr>
            </w:pPr>
          </w:p>
        </w:tc>
        <w:tc>
          <w:tcPr>
            <w:tcW w:w="2621" w:type="dxa"/>
          </w:tcPr>
          <w:p>
            <w:pPr>
              <w:spacing w:after="84"/>
              <w:jc w:val="center"/>
              <w:rPr>
                <w:color w:val="auto"/>
              </w:rPr>
            </w:pPr>
          </w:p>
        </w:tc>
      </w:tr>
    </w:tbl>
    <w:p>
      <w:pPr>
        <w:tabs>
          <w:tab w:val="left" w:pos="1020"/>
          <w:tab w:val="left" w:pos="1920"/>
          <w:tab w:val="left" w:pos="3000"/>
          <w:tab w:val="left" w:pos="5256"/>
        </w:tabs>
        <w:spacing w:line="360" w:lineRule="auto"/>
        <w:jc w:val="left"/>
        <w:rPr>
          <w:rFonts w:ascii="宋体" w:hAnsi="宋体"/>
          <w:bCs/>
          <w:color w:val="auto"/>
        </w:rPr>
      </w:pPr>
    </w:p>
    <w:p>
      <w:pPr>
        <w:tabs>
          <w:tab w:val="left" w:pos="1020"/>
          <w:tab w:val="left" w:pos="1920"/>
          <w:tab w:val="left" w:pos="3000"/>
          <w:tab w:val="left" w:pos="5256"/>
        </w:tabs>
        <w:spacing w:line="360" w:lineRule="auto"/>
        <w:ind w:left="210" w:hanging="210" w:hangingChars="100"/>
        <w:jc w:val="left"/>
        <w:rPr>
          <w:rFonts w:ascii="宋体" w:hAnsi="宋体"/>
          <w:bCs/>
          <w:color w:val="auto"/>
        </w:rPr>
      </w:pPr>
      <w:r>
        <w:rPr>
          <w:rFonts w:hint="eastAsia" w:ascii="宋体" w:hAnsi="宋体"/>
          <w:bCs/>
          <w:color w:val="auto"/>
        </w:rPr>
        <w:t>1、提供拟用于本项目人员的</w:t>
      </w:r>
      <w:r>
        <w:rPr>
          <w:rFonts w:ascii="宋体" w:hAnsi="宋体"/>
          <w:bCs/>
          <w:color w:val="auto"/>
        </w:rPr>
        <w:t>专业技术职称证</w:t>
      </w:r>
      <w:r>
        <w:rPr>
          <w:rFonts w:hint="eastAsia" w:ascii="宋体" w:hAnsi="宋体"/>
          <w:bCs/>
          <w:color w:val="auto"/>
        </w:rPr>
        <w:t>书、资格证书、身份证、学历证明等资料复印件。</w:t>
      </w:r>
    </w:p>
    <w:p>
      <w:pPr>
        <w:tabs>
          <w:tab w:val="left" w:pos="1020"/>
          <w:tab w:val="left" w:pos="1920"/>
          <w:tab w:val="left" w:pos="3000"/>
          <w:tab w:val="left" w:pos="5256"/>
        </w:tabs>
        <w:spacing w:line="360" w:lineRule="auto"/>
        <w:jc w:val="left"/>
        <w:rPr>
          <w:rFonts w:ascii="宋体" w:hAnsi="宋体"/>
          <w:bCs/>
          <w:color w:val="auto"/>
        </w:rPr>
      </w:pPr>
      <w:r>
        <w:rPr>
          <w:rFonts w:hint="eastAsia" w:ascii="宋体" w:hAnsi="宋体"/>
          <w:color w:val="auto"/>
        </w:rPr>
        <w:t>2</w:t>
      </w:r>
      <w:r>
        <w:rPr>
          <w:rFonts w:hint="eastAsia" w:ascii="宋体" w:hAnsi="宋体"/>
          <w:bCs/>
          <w:color w:val="auto"/>
        </w:rPr>
        <w:t>、投标单位应确保上述人员根据采购人的业务情况随时提供相关服务。</w:t>
      </w:r>
    </w:p>
    <w:p>
      <w:pPr>
        <w:tabs>
          <w:tab w:val="left" w:pos="1020"/>
          <w:tab w:val="left" w:pos="1920"/>
          <w:tab w:val="left" w:pos="3000"/>
          <w:tab w:val="left" w:pos="5256"/>
        </w:tabs>
        <w:spacing w:line="360" w:lineRule="auto"/>
        <w:jc w:val="left"/>
        <w:rPr>
          <w:rFonts w:ascii="宋体" w:hAnsi="宋体"/>
          <w:bCs/>
          <w:color w:val="auto"/>
        </w:rPr>
      </w:pPr>
    </w:p>
    <w:p>
      <w:pPr>
        <w:pStyle w:val="3"/>
        <w:keepNext w:val="0"/>
        <w:pageBreakBefore/>
        <w:outlineLvl w:val="0"/>
        <w:rPr>
          <w:rFonts w:ascii="宋体" w:hAnsi="宋体" w:eastAsia="宋体"/>
          <w:color w:val="auto"/>
          <w:sz w:val="21"/>
          <w:szCs w:val="21"/>
        </w:rPr>
      </w:pPr>
      <w:bookmarkStart w:id="381" w:name="_Toc27062013"/>
      <w:bookmarkStart w:id="382" w:name="_Toc27064323"/>
      <w:bookmarkStart w:id="383" w:name="_Toc14392"/>
      <w:bookmarkStart w:id="384" w:name="_Toc31758"/>
      <w:bookmarkStart w:id="385" w:name="_Toc882"/>
      <w:bookmarkStart w:id="386" w:name="_Toc3222"/>
      <w:bookmarkStart w:id="387" w:name="_Toc5703"/>
      <w:bookmarkStart w:id="388" w:name="_Toc16924"/>
      <w:r>
        <w:rPr>
          <w:rFonts w:hint="eastAsia" w:ascii="宋体" w:hAnsi="宋体" w:eastAsia="宋体"/>
          <w:color w:val="auto"/>
          <w:sz w:val="21"/>
          <w:szCs w:val="21"/>
        </w:rPr>
        <w:t>附件10服务方案</w:t>
      </w:r>
      <w:bookmarkEnd w:id="381"/>
      <w:bookmarkEnd w:id="382"/>
      <w:bookmarkEnd w:id="383"/>
      <w:bookmarkEnd w:id="384"/>
      <w:bookmarkEnd w:id="385"/>
      <w:bookmarkEnd w:id="386"/>
      <w:bookmarkEnd w:id="387"/>
      <w:bookmarkEnd w:id="388"/>
    </w:p>
    <w:p>
      <w:pPr>
        <w:spacing w:line="360" w:lineRule="auto"/>
        <w:rPr>
          <w:rFonts w:ascii="宋体" w:hAnsi="宋体"/>
          <w:color w:val="auto"/>
        </w:rPr>
      </w:pPr>
    </w:p>
    <w:p>
      <w:pPr>
        <w:spacing w:line="360" w:lineRule="auto"/>
        <w:ind w:firstLine="315" w:firstLineChars="150"/>
        <w:rPr>
          <w:rFonts w:ascii="宋体" w:hAnsi="宋体"/>
          <w:color w:val="auto"/>
        </w:rPr>
      </w:pPr>
      <w:r>
        <w:rPr>
          <w:rFonts w:hint="eastAsia" w:ascii="宋体" w:hAnsi="宋体"/>
          <w:color w:val="auto"/>
        </w:rPr>
        <w:t>（须加盖单位公章）</w:t>
      </w:r>
    </w:p>
    <w:p>
      <w:pPr>
        <w:pStyle w:val="7"/>
        <w:ind w:firstLine="0"/>
        <w:rPr>
          <w:rFonts w:hAnsi="宋体"/>
          <w:color w:val="auto"/>
        </w:rPr>
      </w:pPr>
    </w:p>
    <w:p>
      <w:pPr>
        <w:spacing w:line="360" w:lineRule="auto"/>
        <w:rPr>
          <w:rFonts w:ascii="宋体" w:hAnsi="宋体"/>
          <w:color w:val="auto"/>
        </w:rPr>
      </w:pPr>
    </w:p>
    <w:p>
      <w:pPr>
        <w:spacing w:line="360" w:lineRule="auto"/>
        <w:rPr>
          <w:rFonts w:ascii="宋体" w:hAnsi="宋体"/>
          <w:color w:val="auto"/>
        </w:rPr>
      </w:pPr>
    </w:p>
    <w:p>
      <w:pPr>
        <w:pStyle w:val="3"/>
        <w:pageBreakBefore/>
        <w:outlineLvl w:val="0"/>
        <w:rPr>
          <w:rFonts w:ascii="宋体" w:hAnsi="宋体" w:eastAsia="宋体"/>
          <w:color w:val="auto"/>
          <w:sz w:val="21"/>
          <w:szCs w:val="21"/>
        </w:rPr>
      </w:pPr>
      <w:bookmarkStart w:id="389" w:name="_Toc27064325"/>
      <w:bookmarkStart w:id="390" w:name="_Toc27062015"/>
      <w:bookmarkStart w:id="391" w:name="_Toc22302"/>
      <w:bookmarkStart w:id="392" w:name="_Toc23800"/>
      <w:bookmarkStart w:id="393" w:name="_Toc12711"/>
      <w:bookmarkStart w:id="394" w:name="_Toc18154"/>
      <w:bookmarkStart w:id="395" w:name="_Toc21908"/>
      <w:bookmarkStart w:id="396" w:name="_Toc16581"/>
      <w:r>
        <w:rPr>
          <w:rFonts w:hint="eastAsia" w:ascii="宋体" w:hAnsi="宋体" w:eastAsia="宋体"/>
          <w:color w:val="auto"/>
          <w:sz w:val="21"/>
          <w:szCs w:val="21"/>
        </w:rPr>
        <w:t>附件11有利于本项目进行的其他相关资料及建议</w:t>
      </w:r>
      <w:bookmarkEnd w:id="389"/>
      <w:bookmarkEnd w:id="390"/>
      <w:bookmarkEnd w:id="391"/>
      <w:bookmarkEnd w:id="392"/>
      <w:bookmarkEnd w:id="393"/>
      <w:bookmarkEnd w:id="394"/>
      <w:bookmarkEnd w:id="395"/>
      <w:bookmarkEnd w:id="396"/>
    </w:p>
    <w:p>
      <w:pPr>
        <w:spacing w:line="360" w:lineRule="auto"/>
        <w:rPr>
          <w:rFonts w:ascii="宋体" w:hAnsi="宋体"/>
          <w:color w:val="auto"/>
        </w:rPr>
      </w:pPr>
    </w:p>
    <w:p>
      <w:pPr>
        <w:spacing w:line="360" w:lineRule="auto"/>
        <w:ind w:firstLine="420" w:firstLineChars="200"/>
        <w:rPr>
          <w:rFonts w:ascii="宋体" w:hAnsi="宋体"/>
          <w:color w:val="auto"/>
        </w:rPr>
      </w:pPr>
      <w:r>
        <w:rPr>
          <w:rFonts w:hint="eastAsia" w:ascii="宋体" w:hAnsi="宋体"/>
          <w:color w:val="auto"/>
        </w:rPr>
        <w:t>供应商根据磋商文件服务需求，提供有利于本项目进行的相关资料及建议</w:t>
      </w:r>
    </w:p>
    <w:p>
      <w:pPr>
        <w:spacing w:line="360" w:lineRule="auto"/>
        <w:ind w:firstLine="420" w:firstLineChars="200"/>
        <w:rPr>
          <w:rFonts w:ascii="宋体" w:hAnsi="宋体"/>
          <w:bCs/>
          <w:color w:val="auto"/>
        </w:rPr>
      </w:pPr>
      <w:r>
        <w:rPr>
          <w:rFonts w:hint="eastAsia" w:ascii="宋体" w:hAnsi="宋体"/>
          <w:bCs/>
          <w:color w:val="auto"/>
        </w:rPr>
        <w:t>1、以往从事相关工作中所获得的荣誉、奖励等资料</w:t>
      </w:r>
    </w:p>
    <w:p>
      <w:pPr>
        <w:spacing w:line="360" w:lineRule="auto"/>
        <w:ind w:firstLine="420" w:firstLineChars="200"/>
        <w:rPr>
          <w:rFonts w:ascii="宋体" w:hAnsi="宋体"/>
          <w:bCs/>
          <w:color w:val="auto"/>
        </w:rPr>
      </w:pPr>
      <w:r>
        <w:rPr>
          <w:rFonts w:hint="eastAsia" w:ascii="宋体" w:hAnsi="宋体"/>
          <w:bCs/>
          <w:color w:val="auto"/>
        </w:rPr>
        <w:t>2、供应商在本行业内的业绩及行业排名等资料</w:t>
      </w:r>
    </w:p>
    <w:p>
      <w:pPr>
        <w:spacing w:line="360" w:lineRule="auto"/>
        <w:ind w:firstLine="420" w:firstLineChars="200"/>
        <w:rPr>
          <w:rFonts w:ascii="宋体" w:hAnsi="宋体"/>
          <w:bCs/>
          <w:color w:val="auto"/>
        </w:rPr>
      </w:pPr>
      <w:r>
        <w:rPr>
          <w:rFonts w:hint="eastAsia" w:ascii="宋体" w:hAnsi="宋体"/>
          <w:bCs/>
          <w:color w:val="auto"/>
        </w:rPr>
        <w:t>3、其他资料及建议</w:t>
      </w:r>
    </w:p>
    <w:p>
      <w:pPr>
        <w:spacing w:line="360" w:lineRule="auto"/>
        <w:ind w:firstLine="630" w:firstLineChars="300"/>
        <w:rPr>
          <w:rFonts w:ascii="宋体" w:hAnsi="宋体"/>
          <w:color w:val="auto"/>
        </w:rPr>
      </w:pPr>
    </w:p>
    <w:p>
      <w:pPr>
        <w:spacing w:line="360" w:lineRule="auto"/>
        <w:ind w:firstLine="630" w:firstLineChars="300"/>
        <w:rPr>
          <w:rFonts w:ascii="宋体" w:hAnsi="宋体"/>
          <w:color w:val="auto"/>
        </w:rPr>
      </w:pPr>
    </w:p>
    <w:p>
      <w:pPr>
        <w:pStyle w:val="19"/>
        <w:jc w:val="center"/>
        <w:rPr>
          <w:rFonts w:hAnsi="宋体"/>
          <w:color w:val="auto"/>
        </w:rPr>
      </w:pPr>
      <w:r>
        <w:rPr>
          <w:rFonts w:hint="eastAsia" w:hAnsi="宋体"/>
          <w:color w:val="auto"/>
        </w:rPr>
        <w:t>（须加盖单位公章）</w:t>
      </w:r>
    </w:p>
    <w:p>
      <w:pPr>
        <w:pStyle w:val="19"/>
        <w:rPr>
          <w:rFonts w:hAnsi="宋体"/>
          <w:color w:val="auto"/>
        </w:rPr>
      </w:pPr>
    </w:p>
    <w:p>
      <w:pPr>
        <w:pStyle w:val="3"/>
        <w:pageBreakBefore/>
        <w:jc w:val="left"/>
        <w:outlineLvl w:val="0"/>
        <w:rPr>
          <w:rFonts w:ascii="宋体" w:hAnsi="宋体" w:eastAsia="宋体"/>
          <w:color w:val="auto"/>
          <w:sz w:val="21"/>
          <w:szCs w:val="21"/>
        </w:rPr>
      </w:pPr>
      <w:bookmarkStart w:id="397" w:name="_Toc526703563"/>
      <w:bookmarkStart w:id="398" w:name="_Toc320900856"/>
      <w:bookmarkStart w:id="399" w:name="_Toc27062016"/>
      <w:bookmarkStart w:id="400" w:name="_Toc27064326"/>
      <w:bookmarkStart w:id="401" w:name="_Toc321065154"/>
      <w:bookmarkStart w:id="402" w:name="_Toc412963783"/>
      <w:bookmarkStart w:id="403" w:name="_Toc776"/>
      <w:bookmarkStart w:id="404" w:name="_Toc15288"/>
      <w:bookmarkStart w:id="405" w:name="_Toc32613"/>
      <w:bookmarkStart w:id="406" w:name="_Toc580"/>
      <w:bookmarkStart w:id="407" w:name="_Toc7179"/>
      <w:bookmarkStart w:id="408" w:name="_Toc32080"/>
      <w:r>
        <w:rPr>
          <w:rFonts w:hint="eastAsia" w:ascii="宋体" w:hAnsi="宋体" w:eastAsia="宋体"/>
          <w:color w:val="auto"/>
          <w:sz w:val="21"/>
          <w:szCs w:val="21"/>
        </w:rPr>
        <w:t>附件12中小企业声明函</w:t>
      </w:r>
      <w:bookmarkEnd w:id="397"/>
      <w:bookmarkEnd w:id="398"/>
      <w:bookmarkEnd w:id="399"/>
      <w:bookmarkEnd w:id="400"/>
      <w:bookmarkEnd w:id="401"/>
      <w:bookmarkEnd w:id="402"/>
      <w:bookmarkEnd w:id="403"/>
      <w:bookmarkEnd w:id="404"/>
      <w:bookmarkEnd w:id="405"/>
      <w:bookmarkEnd w:id="406"/>
      <w:bookmarkEnd w:id="407"/>
      <w:bookmarkEnd w:id="408"/>
    </w:p>
    <w:p>
      <w:pPr>
        <w:spacing w:line="440" w:lineRule="exact"/>
        <w:jc w:val="center"/>
        <w:rPr>
          <w:rFonts w:ascii="宋体" w:hAnsi="宋体" w:cs="Tahoma"/>
          <w:color w:val="auto"/>
        </w:rPr>
      </w:pPr>
    </w:p>
    <w:p>
      <w:pPr>
        <w:spacing w:line="440" w:lineRule="exact"/>
        <w:ind w:firstLine="3360" w:firstLineChars="1600"/>
        <w:rPr>
          <w:rFonts w:ascii="宋体" w:hAnsi="宋体" w:cs="Tahoma"/>
          <w:color w:val="auto"/>
        </w:rPr>
      </w:pPr>
      <w:r>
        <w:rPr>
          <w:rFonts w:hint="eastAsia" w:ascii="宋体" w:hAnsi="宋体" w:cs="Tahoma"/>
          <w:color w:val="auto"/>
        </w:rPr>
        <w:t>中小企业声明函</w:t>
      </w:r>
    </w:p>
    <w:p>
      <w:pPr>
        <w:spacing w:line="440" w:lineRule="exact"/>
        <w:rPr>
          <w:rFonts w:ascii="宋体" w:hAnsi="宋体" w:cs="Tahoma"/>
          <w:color w:val="auto"/>
        </w:rPr>
      </w:pPr>
    </w:p>
    <w:p>
      <w:pPr>
        <w:spacing w:line="440" w:lineRule="exact"/>
        <w:ind w:firstLine="420" w:firstLineChars="200"/>
        <w:rPr>
          <w:rFonts w:ascii="宋体" w:hAnsi="宋体" w:cs="Tahoma"/>
          <w:color w:val="auto"/>
        </w:rPr>
      </w:pPr>
      <w:r>
        <w:rPr>
          <w:rFonts w:hint="eastAsia" w:ascii="宋体" w:hAnsi="宋体" w:cs="Tahoma"/>
          <w:color w:val="auto"/>
        </w:rPr>
        <w:t>本公司郑重声明，根据《政府采购促进中小企业发展暂行办法》（财库[2011]181号）的规定，本公司为</w:t>
      </w:r>
      <w:r>
        <w:rPr>
          <w:rFonts w:hint="eastAsia" w:ascii="宋体" w:hAnsi="宋体" w:cs="Tahoma"/>
          <w:color w:val="auto"/>
          <w:u w:val="single"/>
        </w:rPr>
        <w:t>______</w:t>
      </w:r>
      <w:r>
        <w:rPr>
          <w:rFonts w:hint="eastAsia" w:ascii="宋体" w:hAnsi="宋体" w:cs="Tahoma"/>
          <w:color w:val="auto"/>
        </w:rPr>
        <w:t>（请填写：中型、小型、微型）企业。即，本公司同时满足以下条件：</w:t>
      </w:r>
    </w:p>
    <w:p>
      <w:pPr>
        <w:spacing w:line="440" w:lineRule="exact"/>
        <w:ind w:firstLine="420" w:firstLineChars="200"/>
        <w:rPr>
          <w:rFonts w:ascii="宋体" w:hAnsi="宋体" w:cs="Tahoma"/>
          <w:color w:val="auto"/>
        </w:rPr>
      </w:pPr>
      <w:r>
        <w:rPr>
          <w:rFonts w:hint="eastAsia" w:ascii="宋体" w:hAnsi="宋体" w:cs="Tahoma"/>
          <w:color w:val="auto"/>
        </w:rPr>
        <w:t>1.根据《工业和信息化部、国家统计局、国家发展和改革委员会、财政部关于印发中小企业划型标准规定的通知》（工信部联企业[2011]300号）规定的划分标准，本公司为</w:t>
      </w:r>
      <w:r>
        <w:rPr>
          <w:rFonts w:hint="eastAsia" w:ascii="宋体" w:hAnsi="宋体" w:cs="Tahoma"/>
          <w:color w:val="auto"/>
          <w:u w:val="single"/>
        </w:rPr>
        <w:t>______</w:t>
      </w:r>
      <w:r>
        <w:rPr>
          <w:rFonts w:hint="eastAsia" w:ascii="宋体" w:hAnsi="宋体" w:cs="Tahoma"/>
          <w:color w:val="auto"/>
        </w:rPr>
        <w:t>（请填写：中型、小型、微型）企业。</w:t>
      </w:r>
    </w:p>
    <w:p>
      <w:pPr>
        <w:spacing w:line="440" w:lineRule="exact"/>
        <w:ind w:firstLine="420" w:firstLineChars="200"/>
        <w:rPr>
          <w:rFonts w:ascii="宋体" w:hAnsi="宋体" w:cs="Tahoma"/>
          <w:color w:val="auto"/>
        </w:rPr>
      </w:pPr>
      <w:r>
        <w:rPr>
          <w:rFonts w:hint="eastAsia" w:ascii="宋体" w:hAnsi="宋体" w:cs="Tahoma"/>
          <w:color w:val="auto"/>
        </w:rPr>
        <w:t>2.本公司参加</w:t>
      </w:r>
      <w:r>
        <w:rPr>
          <w:rFonts w:hint="eastAsia" w:ascii="宋体" w:hAnsi="宋体" w:cs="Tahoma"/>
          <w:color w:val="auto"/>
          <w:u w:val="single"/>
        </w:rPr>
        <w:t>______</w:t>
      </w:r>
      <w:r>
        <w:rPr>
          <w:rFonts w:hint="eastAsia" w:ascii="宋体" w:hAnsi="宋体" w:cs="Tahoma"/>
          <w:color w:val="auto"/>
        </w:rPr>
        <w:t>单位的</w:t>
      </w:r>
      <w:r>
        <w:rPr>
          <w:rFonts w:hint="eastAsia" w:ascii="宋体" w:hAnsi="宋体" w:cs="Tahoma"/>
          <w:color w:val="auto"/>
          <w:u w:val="single"/>
        </w:rPr>
        <w:t>_____</w:t>
      </w:r>
      <w:r>
        <w:rPr>
          <w:rFonts w:hint="eastAsia" w:ascii="宋体" w:hAnsi="宋体" w:cs="Tahoma"/>
          <w:color w:val="auto"/>
        </w:rPr>
        <w:t>_项目采购活动提供服务，由本企业提供服务，或者提供其他</w:t>
      </w:r>
      <w:r>
        <w:rPr>
          <w:rFonts w:hint="eastAsia" w:ascii="宋体" w:hAnsi="宋体" w:cs="Tahoma"/>
          <w:color w:val="auto"/>
          <w:u w:val="single"/>
        </w:rPr>
        <w:t>______</w:t>
      </w:r>
      <w:r>
        <w:rPr>
          <w:rFonts w:hint="eastAsia" w:ascii="宋体" w:hAnsi="宋体" w:cs="Tahoma"/>
          <w:color w:val="auto"/>
        </w:rPr>
        <w:t>（请填写：中型、小型、微型）企业的服务。</w:t>
      </w:r>
    </w:p>
    <w:p>
      <w:pPr>
        <w:spacing w:line="440" w:lineRule="exact"/>
        <w:ind w:firstLine="3360" w:firstLineChars="1600"/>
        <w:rPr>
          <w:rFonts w:ascii="宋体" w:hAnsi="宋体" w:cs="Tahoma"/>
          <w:color w:val="auto"/>
        </w:rPr>
      </w:pPr>
    </w:p>
    <w:p>
      <w:pPr>
        <w:spacing w:line="440" w:lineRule="exact"/>
        <w:ind w:firstLine="420" w:firstLineChars="200"/>
        <w:rPr>
          <w:rFonts w:ascii="宋体" w:hAnsi="宋体" w:cs="Tahoma"/>
          <w:color w:val="auto"/>
        </w:rPr>
      </w:pPr>
      <w:r>
        <w:rPr>
          <w:rFonts w:hint="eastAsia" w:ascii="宋体" w:hAnsi="宋体" w:cs="Tahoma"/>
          <w:color w:val="auto"/>
        </w:rPr>
        <w:t>本公司对上述声明的真实性负责。如有虚假，将依法承担相应责任。</w:t>
      </w:r>
    </w:p>
    <w:p>
      <w:pPr>
        <w:spacing w:line="440" w:lineRule="exact"/>
        <w:ind w:firstLine="420" w:firstLineChars="200"/>
        <w:rPr>
          <w:rFonts w:ascii="宋体" w:hAnsi="宋体" w:cs="Tahoma"/>
          <w:color w:val="auto"/>
        </w:rPr>
      </w:pPr>
    </w:p>
    <w:p>
      <w:pPr>
        <w:spacing w:line="440" w:lineRule="exact"/>
        <w:ind w:firstLine="420" w:firstLineChars="200"/>
        <w:rPr>
          <w:rFonts w:ascii="宋体" w:hAnsi="宋体" w:cs="Tahoma"/>
          <w:color w:val="auto"/>
        </w:rPr>
      </w:pPr>
    </w:p>
    <w:p>
      <w:pPr>
        <w:spacing w:line="440" w:lineRule="exact"/>
        <w:ind w:firstLine="420" w:firstLineChars="200"/>
        <w:rPr>
          <w:rFonts w:ascii="宋体" w:hAnsi="宋体" w:cs="Tahoma"/>
          <w:color w:val="auto"/>
        </w:rPr>
      </w:pPr>
      <w:r>
        <w:rPr>
          <w:rFonts w:hint="eastAsia" w:ascii="宋体" w:hAnsi="宋体" w:cs="Tahoma"/>
          <w:color w:val="auto"/>
        </w:rPr>
        <w:t xml:space="preserve">企业名称（盖章）： </w:t>
      </w:r>
    </w:p>
    <w:p>
      <w:pPr>
        <w:spacing w:line="440" w:lineRule="exact"/>
        <w:ind w:firstLine="420" w:firstLineChars="200"/>
        <w:rPr>
          <w:rFonts w:ascii="宋体" w:hAnsi="宋体" w:cs="Tahoma"/>
          <w:color w:val="auto"/>
        </w:rPr>
      </w:pPr>
    </w:p>
    <w:p>
      <w:pPr>
        <w:spacing w:line="440" w:lineRule="exact"/>
        <w:ind w:firstLine="420" w:firstLineChars="200"/>
        <w:rPr>
          <w:rFonts w:ascii="宋体" w:hAnsi="宋体" w:cs="Tahoma"/>
          <w:color w:val="auto"/>
        </w:rPr>
      </w:pPr>
      <w:r>
        <w:rPr>
          <w:rFonts w:hint="eastAsia" w:ascii="宋体" w:hAnsi="宋体" w:cs="Tahoma"/>
          <w:color w:val="auto"/>
        </w:rPr>
        <w:t>日 期：</w:t>
      </w:r>
    </w:p>
    <w:p>
      <w:pPr>
        <w:pStyle w:val="3"/>
        <w:pageBreakBefore/>
        <w:jc w:val="left"/>
        <w:outlineLvl w:val="0"/>
        <w:rPr>
          <w:rFonts w:ascii="宋体" w:hAnsi="宋体" w:cs="Tahoma"/>
          <w:color w:val="auto"/>
          <w:szCs w:val="21"/>
        </w:rPr>
      </w:pPr>
      <w:bookmarkStart w:id="409" w:name="_Toc27064327"/>
      <w:bookmarkStart w:id="410" w:name="_Toc526703564"/>
      <w:bookmarkStart w:id="411" w:name="_Toc27062017"/>
      <w:bookmarkStart w:id="412" w:name="_Toc27882"/>
      <w:bookmarkStart w:id="413" w:name="_Toc26926"/>
      <w:bookmarkStart w:id="414" w:name="_Toc4616"/>
      <w:bookmarkStart w:id="415" w:name="_Toc865"/>
      <w:bookmarkStart w:id="416" w:name="_Toc2493"/>
      <w:bookmarkStart w:id="417" w:name="_Toc12496"/>
      <w:r>
        <w:rPr>
          <w:rFonts w:hint="eastAsia" w:ascii="宋体" w:hAnsi="宋体" w:eastAsia="宋体"/>
          <w:color w:val="auto"/>
          <w:sz w:val="21"/>
          <w:szCs w:val="21"/>
        </w:rPr>
        <w:t>附件13</w:t>
      </w:r>
      <w:r>
        <w:rPr>
          <w:rFonts w:ascii="宋体" w:hAnsi="宋体" w:eastAsia="宋体"/>
          <w:color w:val="auto"/>
          <w:sz w:val="21"/>
          <w:szCs w:val="21"/>
        </w:rPr>
        <w:t>残疾人福利性单位声明函</w:t>
      </w:r>
      <w:bookmarkEnd w:id="409"/>
      <w:bookmarkEnd w:id="410"/>
      <w:bookmarkEnd w:id="411"/>
      <w:bookmarkEnd w:id="412"/>
      <w:bookmarkEnd w:id="413"/>
      <w:bookmarkEnd w:id="414"/>
      <w:bookmarkEnd w:id="415"/>
      <w:bookmarkEnd w:id="416"/>
      <w:bookmarkEnd w:id="417"/>
    </w:p>
    <w:p>
      <w:pPr>
        <w:spacing w:before="157" w:line="327" w:lineRule="exact"/>
        <w:ind w:left="137"/>
        <w:rPr>
          <w:rFonts w:ascii="宋体" w:hAnsi="宋体"/>
          <w:color w:val="auto"/>
          <w:szCs w:val="22"/>
        </w:rPr>
      </w:pPr>
      <w:r>
        <w:rPr>
          <w:rFonts w:ascii="宋体" w:hAnsi="宋体" w:cs="DSUHOM+Î¢ÈíÑÅºÚ"/>
          <w:color w:val="auto"/>
          <w:spacing w:val="1"/>
          <w:szCs w:val="22"/>
          <w:u w:val="single"/>
        </w:rPr>
        <w:t>残疾人福利性单位声明函（格式，不符合条件无须提交）</w:t>
      </w:r>
    </w:p>
    <w:p>
      <w:pPr>
        <w:spacing w:before="154" w:line="372" w:lineRule="exact"/>
        <w:ind w:left="137"/>
        <w:rPr>
          <w:rFonts w:ascii="宋体" w:hAnsi="宋体" w:cs="Tahoma"/>
          <w:color w:val="auto"/>
        </w:rPr>
      </w:pPr>
      <w:r>
        <w:rPr>
          <w:rFonts w:ascii="宋体" w:hAnsi="宋体" w:cs="Tahoma"/>
          <w:color w:val="auto"/>
        </w:rPr>
        <w:t>注：1、根据《财政部 民政部 中国残疾人联合会关于促进残疾人就业政府采购政策的通知》（财库〔2017〕 141 号）的规定，符合条件的残疾人福利性单位在参加政府采购活动时，应当提供通知规定的《残疾人福利性单位声明函》，并对声明的真实性负责。</w:t>
      </w:r>
    </w:p>
    <w:p>
      <w:pPr>
        <w:spacing w:before="93" w:line="327" w:lineRule="exact"/>
        <w:ind w:left="617"/>
        <w:rPr>
          <w:rFonts w:ascii="宋体" w:hAnsi="宋体"/>
          <w:color w:val="auto"/>
          <w:szCs w:val="22"/>
        </w:rPr>
      </w:pPr>
      <w:r>
        <w:rPr>
          <w:rFonts w:ascii="宋体" w:hAnsi="宋体"/>
          <w:color w:val="auto"/>
          <w:spacing w:val="2"/>
          <w:szCs w:val="22"/>
        </w:rPr>
        <w:t>2</w:t>
      </w:r>
      <w:r>
        <w:rPr>
          <w:rFonts w:ascii="宋体" w:hAnsi="宋体" w:cs="DSUHOM+Î¢ÈíÑÅºÚ"/>
          <w:color w:val="auto"/>
          <w:spacing w:val="1"/>
          <w:szCs w:val="22"/>
        </w:rPr>
        <w:t>、中标供应商为残疾人福利性单位的，其《残疾人福利性单位声明函》将</w:t>
      </w:r>
      <w:r>
        <w:rPr>
          <w:rFonts w:ascii="宋体" w:hAnsi="宋体" w:cs="DSUHOM+Î¢ÈíÑÅºÚ"/>
          <w:color w:val="auto"/>
          <w:szCs w:val="22"/>
        </w:rPr>
        <w:t>随中标结果同时公告，接受社会监督。</w:t>
      </w:r>
    </w:p>
    <w:p>
      <w:pPr>
        <w:spacing w:before="1080" w:line="327" w:lineRule="exact"/>
        <w:jc w:val="center"/>
        <w:rPr>
          <w:rFonts w:ascii="宋体" w:hAnsi="宋体" w:cs="Tahoma"/>
          <w:color w:val="auto"/>
        </w:rPr>
      </w:pPr>
      <w:r>
        <w:rPr>
          <w:rFonts w:ascii="宋体" w:hAnsi="宋体" w:cs="Tahoma"/>
          <w:color w:val="auto"/>
        </w:rPr>
        <w:t>残疾人福利性单位声明函</w:t>
      </w:r>
    </w:p>
    <w:p>
      <w:pPr>
        <w:spacing w:before="1080" w:line="360" w:lineRule="auto"/>
        <w:ind w:firstLine="420" w:firstLineChars="200"/>
        <w:rPr>
          <w:rFonts w:ascii="宋体" w:hAnsi="宋体"/>
          <w:color w:val="auto"/>
          <w:szCs w:val="22"/>
        </w:rPr>
      </w:pPr>
      <w:r>
        <w:rPr>
          <w:rFonts w:ascii="宋体" w:hAnsi="宋体" w:cs="Tahoma"/>
          <w:color w:val="auto"/>
        </w:rPr>
        <w:t>本单位郑重声明，根据《财政部 民政部 中国残疾人联合会关于促进残疾人就业政府采购政策的通知》（财库〔2017〕 141号）的</w:t>
      </w:r>
      <w:r>
        <w:rPr>
          <w:rFonts w:ascii="宋体" w:hAnsi="宋体" w:cs="DSUHOM+Î¢ÈíÑÅºÚ"/>
          <w:color w:val="auto"/>
          <w:spacing w:val="8"/>
          <w:szCs w:val="22"/>
        </w:rPr>
        <w:t>规定，本单位为符</w:t>
      </w:r>
      <w:r>
        <w:rPr>
          <w:rFonts w:ascii="宋体" w:hAnsi="宋体" w:cs="DSUHOM+Î¢ÈíÑÅºÚ"/>
          <w:color w:val="auto"/>
          <w:spacing w:val="12"/>
          <w:szCs w:val="22"/>
        </w:rPr>
        <w:t>合条件的残疾人福利性单位，且本单位参加</w:t>
      </w:r>
      <w:r>
        <w:rPr>
          <w:rFonts w:ascii="宋体" w:hAnsi="宋体"/>
          <w:color w:val="auto"/>
          <w:spacing w:val="6"/>
          <w:szCs w:val="22"/>
        </w:rPr>
        <w:t>______</w:t>
      </w:r>
      <w:r>
        <w:rPr>
          <w:rFonts w:ascii="宋体" w:hAnsi="宋体" w:cs="DSUHOM+Î¢ÈíÑÅºÚ"/>
          <w:color w:val="auto"/>
          <w:spacing w:val="12"/>
          <w:szCs w:val="22"/>
        </w:rPr>
        <w:t>单位的</w:t>
      </w:r>
      <w:r>
        <w:rPr>
          <w:rFonts w:ascii="宋体" w:hAnsi="宋体"/>
          <w:color w:val="auto"/>
          <w:spacing w:val="7"/>
          <w:szCs w:val="22"/>
        </w:rPr>
        <w:t>______</w:t>
      </w:r>
      <w:r>
        <w:rPr>
          <w:rFonts w:ascii="宋体" w:hAnsi="宋体" w:cs="DSUHOM+Î¢ÈíÑÅºÚ"/>
          <w:color w:val="auto"/>
          <w:spacing w:val="14"/>
          <w:szCs w:val="22"/>
        </w:rPr>
        <w:t>项目采购活</w:t>
      </w:r>
      <w:r>
        <w:rPr>
          <w:rFonts w:ascii="宋体" w:hAnsi="宋体" w:cs="DSUHOM+Î¢ÈíÑÅºÚ"/>
          <w:color w:val="auto"/>
          <w:spacing w:val="15"/>
          <w:szCs w:val="22"/>
        </w:rPr>
        <w:t>动提供本单位制造的货物（由本单位承担工程</w:t>
      </w:r>
      <w:r>
        <w:rPr>
          <w:rFonts w:ascii="宋体" w:hAnsi="宋体"/>
          <w:color w:val="auto"/>
          <w:spacing w:val="7"/>
          <w:szCs w:val="22"/>
        </w:rPr>
        <w:t>/</w:t>
      </w:r>
      <w:r>
        <w:rPr>
          <w:rFonts w:ascii="宋体" w:hAnsi="宋体" w:cs="DSUHOM+Î¢ÈíÑÅºÚ"/>
          <w:color w:val="auto"/>
          <w:spacing w:val="-9"/>
          <w:szCs w:val="22"/>
        </w:rPr>
        <w:t>提供服务），</w:t>
      </w:r>
      <w:r>
        <w:rPr>
          <w:rFonts w:ascii="宋体" w:hAnsi="宋体" w:cs="DSUHOM+Î¢ÈíÑÅºÚ"/>
          <w:color w:val="auto"/>
          <w:spacing w:val="12"/>
          <w:szCs w:val="22"/>
        </w:rPr>
        <w:t>或者提供其他残疾人福利性单位制造的货物（不包括使用非残疾人福利性单位注册商标的货</w:t>
      </w:r>
      <w:r>
        <w:rPr>
          <w:rFonts w:ascii="宋体" w:hAnsi="宋体" w:cs="DSUHOM+Î¢ÈíÑÅºÚ"/>
          <w:color w:val="auto"/>
          <w:spacing w:val="-34"/>
          <w:szCs w:val="22"/>
        </w:rPr>
        <w:t>物）。</w:t>
      </w:r>
      <w:r>
        <w:rPr>
          <w:rFonts w:ascii="宋体" w:hAnsi="宋体" w:cs="DSUHOM+Î¢ÈíÑÅºÚ"/>
          <w:color w:val="auto"/>
          <w:szCs w:val="22"/>
        </w:rPr>
        <w:t>本单位对上述声明的真实性负责。如有虚假，将依法承担相应责任。</w:t>
      </w:r>
    </w:p>
    <w:p>
      <w:pPr>
        <w:spacing w:before="1898" w:line="327" w:lineRule="exact"/>
        <w:ind w:left="5300"/>
        <w:rPr>
          <w:rFonts w:ascii="宋体" w:hAnsi="宋体"/>
          <w:color w:val="auto"/>
          <w:szCs w:val="22"/>
        </w:rPr>
      </w:pPr>
      <w:r>
        <w:rPr>
          <w:rFonts w:ascii="宋体" w:hAnsi="宋体" w:cs="DSUHOM+Î¢ÈíÑÅºÚ"/>
          <w:color w:val="auto"/>
          <w:spacing w:val="-13"/>
          <w:szCs w:val="22"/>
        </w:rPr>
        <w:t>单位名称（盖章）：</w:t>
      </w:r>
    </w:p>
    <w:p>
      <w:pPr>
        <w:spacing w:line="440" w:lineRule="exact"/>
        <w:ind w:firstLine="5355" w:firstLineChars="2550"/>
        <w:rPr>
          <w:rFonts w:ascii="宋体" w:hAnsi="宋体" w:cs="Tahoma"/>
          <w:color w:val="auto"/>
        </w:rPr>
      </w:pPr>
      <w:r>
        <w:rPr>
          <w:rFonts w:ascii="宋体" w:hAnsi="宋体" w:cs="DSUHOM+Î¢ÈíÑÅºÚ"/>
          <w:color w:val="auto"/>
          <w:szCs w:val="22"/>
        </w:rPr>
        <w:t>日期：</w:t>
      </w:r>
    </w:p>
    <w:p>
      <w:pPr>
        <w:rPr>
          <w:rFonts w:ascii="宋体" w:hAnsi="宋体" w:cs="宋体"/>
          <w:color w:val="auto"/>
          <w:sz w:val="36"/>
          <w:szCs w:val="36"/>
        </w:rPr>
      </w:pPr>
    </w:p>
    <w:bookmarkEnd w:id="284"/>
    <w:p>
      <w:pPr>
        <w:pStyle w:val="2"/>
        <w:pageBreakBefore/>
        <w:spacing w:before="0" w:after="0" w:line="240" w:lineRule="auto"/>
        <w:jc w:val="center"/>
        <w:rPr>
          <w:rFonts w:ascii="宋体" w:hAnsi="宋体"/>
          <w:color w:val="auto"/>
          <w:sz w:val="36"/>
          <w:szCs w:val="36"/>
        </w:rPr>
      </w:pPr>
      <w:bookmarkStart w:id="418" w:name="_Toc476065857"/>
      <w:bookmarkStart w:id="419" w:name="_Toc4120"/>
      <w:bookmarkStart w:id="420" w:name="_Toc22810"/>
      <w:bookmarkStart w:id="421" w:name="_Toc6079"/>
      <w:bookmarkStart w:id="422" w:name="_Toc20472"/>
      <w:bookmarkStart w:id="423" w:name="_Toc21202"/>
      <w:bookmarkStart w:id="424" w:name="_Toc25307"/>
      <w:r>
        <w:rPr>
          <w:rFonts w:hint="eastAsia" w:ascii="宋体" w:hAnsi="宋体" w:cs="宋体"/>
          <w:color w:val="auto"/>
          <w:sz w:val="36"/>
          <w:szCs w:val="36"/>
        </w:rPr>
        <w:t>第六章 评标标准</w:t>
      </w:r>
      <w:bookmarkEnd w:id="418"/>
      <w:bookmarkEnd w:id="419"/>
      <w:bookmarkEnd w:id="420"/>
      <w:bookmarkEnd w:id="421"/>
      <w:bookmarkEnd w:id="422"/>
      <w:bookmarkEnd w:id="423"/>
      <w:bookmarkEnd w:id="424"/>
    </w:p>
    <w:p>
      <w:pPr>
        <w:spacing w:line="360" w:lineRule="auto"/>
        <w:rPr>
          <w:rFonts w:ascii="宋体" w:hAnsi="宋体" w:cs="黑体"/>
          <w:color w:val="auto"/>
        </w:rPr>
      </w:pPr>
    </w:p>
    <w:bookmarkEnd w:id="272"/>
    <w:bookmarkEnd w:id="285"/>
    <w:bookmarkEnd w:id="286"/>
    <w:p>
      <w:pPr>
        <w:rPr>
          <w:b/>
          <w:color w:val="auto"/>
          <w:sz w:val="22"/>
        </w:rPr>
      </w:pPr>
      <w:r>
        <w:rPr>
          <w:rFonts w:hint="eastAsia"/>
          <w:b/>
          <w:color w:val="auto"/>
          <w:sz w:val="22"/>
        </w:rPr>
        <w:t>一、谈判磋商</w:t>
      </w:r>
    </w:p>
    <w:p>
      <w:pPr>
        <w:jc w:val="center"/>
        <w:rPr>
          <w:rFonts w:ascii="黑体" w:hAnsi="黑体" w:eastAsia="黑体"/>
          <w:color w:val="auto"/>
          <w:sz w:val="28"/>
          <w:szCs w:val="32"/>
        </w:rPr>
      </w:pPr>
      <w:r>
        <w:rPr>
          <w:rFonts w:hint="eastAsia" w:ascii="黑体" w:hAnsi="黑体" w:eastAsia="黑体"/>
          <w:color w:val="auto"/>
          <w:sz w:val="28"/>
          <w:szCs w:val="32"/>
        </w:rPr>
        <w:t>谈判磋商记录</w:t>
      </w:r>
    </w:p>
    <w:p>
      <w:pPr>
        <w:jc w:val="left"/>
        <w:rPr>
          <w:color w:val="auto"/>
          <w:sz w:val="24"/>
        </w:rPr>
      </w:pPr>
      <w:r>
        <w:rPr>
          <w:rFonts w:hint="eastAsia"/>
          <w:color w:val="auto"/>
          <w:sz w:val="24"/>
        </w:rPr>
        <w:t>项目名称：</w:t>
      </w:r>
    </w:p>
    <w:p>
      <w:pPr>
        <w:jc w:val="left"/>
        <w:rPr>
          <w:color w:val="auto"/>
          <w:sz w:val="24"/>
        </w:rPr>
      </w:pPr>
      <w:r>
        <w:rPr>
          <w:rFonts w:hint="eastAsia"/>
          <w:color w:val="auto"/>
          <w:sz w:val="24"/>
        </w:rPr>
        <w:t>项目编号：</w:t>
      </w:r>
    </w:p>
    <w:tbl>
      <w:tblPr>
        <w:tblStyle w:val="36"/>
        <w:tblW w:w="9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1231"/>
        <w:gridCol w:w="836"/>
        <w:gridCol w:w="5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473" w:type="dxa"/>
            <w:vAlign w:val="center"/>
          </w:tcPr>
          <w:p>
            <w:pPr>
              <w:jc w:val="center"/>
              <w:rPr>
                <w:color w:val="auto"/>
                <w:sz w:val="24"/>
              </w:rPr>
            </w:pPr>
            <w:r>
              <w:rPr>
                <w:rFonts w:hint="eastAsia"/>
                <w:color w:val="auto"/>
                <w:sz w:val="24"/>
              </w:rPr>
              <w:t>磋商供应商</w:t>
            </w:r>
          </w:p>
        </w:tc>
        <w:tc>
          <w:tcPr>
            <w:tcW w:w="7627" w:type="dxa"/>
            <w:gridSpan w:val="3"/>
            <w:vAlign w:val="center"/>
          </w:tcPr>
          <w:p>
            <w:pPr>
              <w:jc w:val="center"/>
              <w:rPr>
                <w:rFonts w:ascii="仿宋_GB2312" w:hAnsi="宋体" w:eastAsia="仿宋_GB2312" w:cs="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6" w:hRule="atLeast"/>
          <w:jc w:val="center"/>
        </w:trPr>
        <w:tc>
          <w:tcPr>
            <w:tcW w:w="9100" w:type="dxa"/>
            <w:gridSpan w:val="4"/>
          </w:tcPr>
          <w:p>
            <w:pPr>
              <w:jc w:val="left"/>
              <w:rPr>
                <w:color w:val="auto"/>
                <w:sz w:val="24"/>
              </w:rPr>
            </w:pPr>
            <w:r>
              <w:rPr>
                <w:rFonts w:hint="eastAsia"/>
                <w:color w:val="auto"/>
                <w:sz w:val="24"/>
              </w:rPr>
              <w:t>需澄清的问题：</w:t>
            </w:r>
          </w:p>
          <w:p>
            <w:pPr>
              <w:jc w:val="left"/>
              <w:rPr>
                <w:color w:val="auto"/>
                <w:sz w:val="24"/>
              </w:rPr>
            </w:pPr>
          </w:p>
          <w:p>
            <w:pPr>
              <w:jc w:val="left"/>
              <w:rPr>
                <w:color w:val="auto"/>
                <w:sz w:val="24"/>
              </w:rPr>
            </w:pPr>
          </w:p>
          <w:p>
            <w:pPr>
              <w:jc w:val="left"/>
              <w:rPr>
                <w:color w:val="auto"/>
                <w:sz w:val="24"/>
              </w:rPr>
            </w:pPr>
          </w:p>
          <w:p>
            <w:pPr>
              <w:jc w:val="left"/>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8" w:hRule="atLeast"/>
          <w:jc w:val="center"/>
        </w:trPr>
        <w:tc>
          <w:tcPr>
            <w:tcW w:w="9100" w:type="dxa"/>
            <w:gridSpan w:val="4"/>
            <w:tcBorders>
              <w:bottom w:val="single" w:color="auto" w:sz="4" w:space="0"/>
            </w:tcBorders>
          </w:tcPr>
          <w:p>
            <w:pPr>
              <w:jc w:val="left"/>
              <w:rPr>
                <w:color w:val="auto"/>
                <w:sz w:val="24"/>
              </w:rPr>
            </w:pPr>
            <w:r>
              <w:rPr>
                <w:rFonts w:hint="eastAsia"/>
                <w:color w:val="auto"/>
                <w:sz w:val="24"/>
              </w:rPr>
              <w:t>供应商的答复：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2704" w:type="dxa"/>
            <w:gridSpan w:val="2"/>
            <w:vMerge w:val="restart"/>
            <w:tcBorders>
              <w:top w:val="single" w:color="auto" w:sz="4" w:space="0"/>
              <w:right w:val="single" w:color="auto" w:sz="4" w:space="0"/>
            </w:tcBorders>
            <w:vAlign w:val="center"/>
          </w:tcPr>
          <w:p>
            <w:pPr>
              <w:jc w:val="center"/>
              <w:rPr>
                <w:color w:val="auto"/>
                <w:sz w:val="24"/>
              </w:rPr>
            </w:pPr>
            <w:r>
              <w:rPr>
                <w:rFonts w:hint="eastAsia"/>
                <w:color w:val="auto"/>
                <w:sz w:val="24"/>
              </w:rPr>
              <w:t>第二次报价（人民币）</w:t>
            </w: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color w:val="auto"/>
                <w:sz w:val="24"/>
              </w:rPr>
              <w:t>大写</w:t>
            </w:r>
          </w:p>
        </w:tc>
        <w:tc>
          <w:tcPr>
            <w:tcW w:w="5560" w:type="dxa"/>
            <w:tcBorders>
              <w:top w:val="single" w:color="auto" w:sz="4" w:space="0"/>
              <w:left w:val="single" w:color="auto" w:sz="4" w:space="0"/>
              <w:bottom w:val="single" w:color="auto" w:sz="4" w:space="0"/>
            </w:tcBorders>
            <w:vAlign w:val="center"/>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2704" w:type="dxa"/>
            <w:gridSpan w:val="2"/>
            <w:vMerge w:val="continue"/>
            <w:tcBorders>
              <w:right w:val="single" w:color="auto" w:sz="4" w:space="0"/>
            </w:tcBorders>
          </w:tcPr>
          <w:p>
            <w:pPr>
              <w:jc w:val="left"/>
              <w:rPr>
                <w:color w:val="auto"/>
                <w:sz w:val="24"/>
              </w:rPr>
            </w:pPr>
          </w:p>
        </w:tc>
        <w:tc>
          <w:tcPr>
            <w:tcW w:w="836" w:type="dxa"/>
            <w:tcBorders>
              <w:top w:val="single" w:color="auto" w:sz="4" w:space="0"/>
              <w:left w:val="single" w:color="auto" w:sz="4" w:space="0"/>
              <w:right w:val="single" w:color="auto" w:sz="4" w:space="0"/>
            </w:tcBorders>
            <w:vAlign w:val="center"/>
          </w:tcPr>
          <w:p>
            <w:pPr>
              <w:widowControl/>
              <w:jc w:val="center"/>
              <w:rPr>
                <w:color w:val="auto"/>
                <w:sz w:val="24"/>
              </w:rPr>
            </w:pPr>
            <w:r>
              <w:rPr>
                <w:rFonts w:hint="eastAsia"/>
                <w:color w:val="auto"/>
                <w:sz w:val="24"/>
              </w:rPr>
              <w:t>小写</w:t>
            </w:r>
          </w:p>
        </w:tc>
        <w:tc>
          <w:tcPr>
            <w:tcW w:w="5560" w:type="dxa"/>
            <w:tcBorders>
              <w:top w:val="single" w:color="auto" w:sz="4" w:space="0"/>
              <w:left w:val="single" w:color="auto" w:sz="4" w:space="0"/>
            </w:tcBorders>
            <w:vAlign w:val="center"/>
          </w:tcPr>
          <w:p>
            <w:pPr>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2704" w:type="dxa"/>
            <w:gridSpan w:val="2"/>
          </w:tcPr>
          <w:p>
            <w:pPr>
              <w:jc w:val="left"/>
              <w:rPr>
                <w:color w:val="auto"/>
                <w:sz w:val="24"/>
              </w:rPr>
            </w:pPr>
            <w:r>
              <w:rPr>
                <w:rFonts w:hint="eastAsia"/>
                <w:color w:val="auto"/>
                <w:sz w:val="24"/>
              </w:rPr>
              <w:t>谈判磋商供应商</w:t>
            </w:r>
          </w:p>
          <w:p>
            <w:pPr>
              <w:jc w:val="left"/>
              <w:rPr>
                <w:color w:val="auto"/>
                <w:sz w:val="24"/>
              </w:rPr>
            </w:pPr>
            <w:r>
              <w:rPr>
                <w:rFonts w:hint="eastAsia"/>
                <w:color w:val="auto"/>
                <w:sz w:val="24"/>
              </w:rPr>
              <w:t>授权代表签字：</w:t>
            </w:r>
          </w:p>
        </w:tc>
        <w:tc>
          <w:tcPr>
            <w:tcW w:w="6396" w:type="dxa"/>
            <w:gridSpan w:val="2"/>
          </w:tcPr>
          <w:p>
            <w:pPr>
              <w:jc w:val="left"/>
              <w:rPr>
                <w:color w:val="auto"/>
                <w:sz w:val="24"/>
              </w:rPr>
            </w:pPr>
            <w:r>
              <w:rPr>
                <w:rFonts w:hint="eastAsia"/>
                <w:color w:val="auto"/>
                <w:sz w:val="24"/>
              </w:rPr>
              <w:t>谈判磋商小组全体签字：</w:t>
            </w:r>
          </w:p>
        </w:tc>
      </w:tr>
    </w:tbl>
    <w:p>
      <w:pPr>
        <w:rPr>
          <w:rFonts w:ascii="宋体" w:hAnsi="宋体"/>
          <w:b/>
          <w:color w:val="auto"/>
          <w:sz w:val="22"/>
        </w:rPr>
      </w:pPr>
    </w:p>
    <w:p>
      <w:pPr>
        <w:widowControl/>
        <w:jc w:val="left"/>
        <w:rPr>
          <w:rFonts w:ascii="宋体" w:hAnsi="宋体"/>
          <w:b/>
          <w:color w:val="auto"/>
          <w:sz w:val="22"/>
        </w:rPr>
      </w:pPr>
      <w:r>
        <w:rPr>
          <w:rFonts w:ascii="宋体" w:hAnsi="宋体"/>
          <w:b/>
          <w:color w:val="auto"/>
          <w:sz w:val="22"/>
        </w:rPr>
        <w:br w:type="page"/>
      </w:r>
    </w:p>
    <w:p>
      <w:pPr>
        <w:rPr>
          <w:rFonts w:ascii="宋体" w:hAnsi="宋体"/>
          <w:b/>
          <w:color w:val="auto"/>
          <w:sz w:val="22"/>
        </w:rPr>
      </w:pPr>
    </w:p>
    <w:p>
      <w:pPr>
        <w:rPr>
          <w:rFonts w:ascii="宋体" w:hAnsi="宋体"/>
          <w:b/>
          <w:color w:val="auto"/>
        </w:rPr>
      </w:pPr>
      <w:r>
        <w:rPr>
          <w:rFonts w:hint="eastAsia" w:ascii="宋体" w:hAnsi="宋体"/>
          <w:b/>
          <w:color w:val="auto"/>
          <w:sz w:val="22"/>
        </w:rPr>
        <w:t>二、符合性与资格性审查表</w:t>
      </w:r>
    </w:p>
    <w:p>
      <w:pPr>
        <w:spacing w:line="240" w:lineRule="atLeast"/>
        <w:rPr>
          <w:rFonts w:ascii="宋体" w:hAnsi="宋体"/>
          <w:color w:val="auto"/>
        </w:rPr>
      </w:pPr>
    </w:p>
    <w:tbl>
      <w:tblPr>
        <w:tblStyle w:val="36"/>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7390"/>
        <w:gridCol w:w="653"/>
        <w:gridCol w:w="623"/>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91" w:type="dxa"/>
            <w:vAlign w:val="center"/>
          </w:tcPr>
          <w:p>
            <w:pPr>
              <w:spacing w:line="240" w:lineRule="atLeast"/>
              <w:jc w:val="center"/>
              <w:rPr>
                <w:rFonts w:ascii="宋体" w:hAnsi="宋体"/>
                <w:color w:val="auto"/>
              </w:rPr>
            </w:pPr>
            <w:r>
              <w:rPr>
                <w:rFonts w:hint="eastAsia" w:ascii="宋体" w:hAnsi="宋体"/>
                <w:color w:val="auto"/>
              </w:rPr>
              <w:t>序号</w:t>
            </w:r>
          </w:p>
        </w:tc>
        <w:tc>
          <w:tcPr>
            <w:tcW w:w="7390" w:type="dxa"/>
            <w:tcBorders>
              <w:tl2br w:val="single" w:color="auto" w:sz="4" w:space="0"/>
            </w:tcBorders>
          </w:tcPr>
          <w:p>
            <w:pPr>
              <w:spacing w:line="240" w:lineRule="atLeast"/>
              <w:ind w:firstLine="5355" w:firstLineChars="2550"/>
              <w:rPr>
                <w:rFonts w:ascii="宋体" w:hAnsi="宋体"/>
                <w:color w:val="auto"/>
              </w:rPr>
            </w:pPr>
            <w:r>
              <w:rPr>
                <w:rFonts w:hint="eastAsia" w:ascii="宋体" w:hAnsi="宋体"/>
                <w:color w:val="auto"/>
              </w:rPr>
              <w:t>谈判供应商名称</w:t>
            </w:r>
          </w:p>
          <w:p>
            <w:pPr>
              <w:spacing w:line="240" w:lineRule="atLeast"/>
              <w:rPr>
                <w:rFonts w:ascii="宋体" w:hAnsi="宋体"/>
                <w:color w:val="auto"/>
              </w:rPr>
            </w:pPr>
          </w:p>
          <w:p>
            <w:pPr>
              <w:spacing w:line="240" w:lineRule="atLeast"/>
              <w:ind w:firstLine="945" w:firstLineChars="450"/>
              <w:rPr>
                <w:rFonts w:ascii="宋体" w:hAnsi="宋体"/>
                <w:color w:val="auto"/>
              </w:rPr>
            </w:pPr>
            <w:r>
              <w:rPr>
                <w:rFonts w:hint="eastAsia" w:ascii="宋体" w:hAnsi="宋体"/>
                <w:color w:val="auto"/>
              </w:rPr>
              <w:t>评审因素</w:t>
            </w:r>
          </w:p>
        </w:tc>
        <w:tc>
          <w:tcPr>
            <w:tcW w:w="653" w:type="dxa"/>
            <w:vAlign w:val="center"/>
          </w:tcPr>
          <w:p>
            <w:pPr>
              <w:spacing w:line="240" w:lineRule="atLeast"/>
              <w:jc w:val="center"/>
              <w:rPr>
                <w:rFonts w:ascii="宋体" w:hAnsi="宋体"/>
                <w:color w:val="auto"/>
              </w:rPr>
            </w:pPr>
          </w:p>
        </w:tc>
        <w:tc>
          <w:tcPr>
            <w:tcW w:w="623" w:type="dxa"/>
            <w:vAlign w:val="center"/>
          </w:tcPr>
          <w:p>
            <w:pPr>
              <w:spacing w:line="240" w:lineRule="atLeast"/>
              <w:jc w:val="center"/>
              <w:rPr>
                <w:rFonts w:ascii="宋体" w:hAnsi="宋体"/>
                <w:color w:val="auto"/>
              </w:rPr>
            </w:pPr>
          </w:p>
        </w:tc>
        <w:tc>
          <w:tcPr>
            <w:tcW w:w="620" w:type="dxa"/>
          </w:tcPr>
          <w:p>
            <w:pPr>
              <w:spacing w:line="240" w:lineRule="atLeas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1</w:t>
            </w:r>
          </w:p>
        </w:tc>
        <w:tc>
          <w:tcPr>
            <w:tcW w:w="7390" w:type="dxa"/>
            <w:vAlign w:val="center"/>
          </w:tcPr>
          <w:p>
            <w:pPr>
              <w:spacing w:line="240" w:lineRule="atLeast"/>
              <w:jc w:val="left"/>
              <w:rPr>
                <w:rFonts w:ascii="宋体" w:hAnsi="宋体"/>
                <w:color w:val="auto"/>
              </w:rPr>
            </w:pPr>
            <w:r>
              <w:rPr>
                <w:rFonts w:hint="eastAsia" w:ascii="宋体" w:hAnsi="宋体"/>
                <w:color w:val="auto"/>
              </w:rPr>
              <w:t>报价函（原件加盖单位公章）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2</w:t>
            </w:r>
          </w:p>
        </w:tc>
        <w:tc>
          <w:tcPr>
            <w:tcW w:w="7390" w:type="dxa"/>
            <w:vAlign w:val="center"/>
          </w:tcPr>
          <w:p>
            <w:pPr>
              <w:spacing w:line="240" w:lineRule="atLeast"/>
              <w:jc w:val="left"/>
              <w:rPr>
                <w:rFonts w:ascii="宋体" w:hAnsi="宋体"/>
                <w:color w:val="auto"/>
              </w:rPr>
            </w:pPr>
            <w:r>
              <w:rPr>
                <w:rFonts w:hint="eastAsia" w:ascii="宋体" w:hAnsi="宋体"/>
                <w:color w:val="auto"/>
              </w:rPr>
              <w:t>法定代表人授权委托书（原件加盖单位公章）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3</w:t>
            </w:r>
          </w:p>
        </w:tc>
        <w:tc>
          <w:tcPr>
            <w:tcW w:w="7390" w:type="dxa"/>
            <w:vAlign w:val="center"/>
          </w:tcPr>
          <w:p>
            <w:pPr>
              <w:spacing w:line="240" w:lineRule="atLeast"/>
              <w:jc w:val="left"/>
              <w:rPr>
                <w:rFonts w:ascii="宋体" w:hAnsi="宋体"/>
                <w:color w:val="auto"/>
              </w:rPr>
            </w:pPr>
            <w:r>
              <w:rPr>
                <w:rFonts w:hint="eastAsia" w:ascii="宋体" w:hAnsi="宋体"/>
                <w:color w:val="auto"/>
              </w:rPr>
              <w:t>营业执照（复印件加盖单位公章）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hint="eastAsia" w:ascii="Arial" w:hAnsi="Arial" w:cs="Arial"/>
                <w:color w:val="auto"/>
              </w:rPr>
              <w:t>4</w:t>
            </w:r>
          </w:p>
        </w:tc>
        <w:tc>
          <w:tcPr>
            <w:tcW w:w="7390" w:type="dxa"/>
            <w:vAlign w:val="center"/>
          </w:tcPr>
          <w:p>
            <w:pPr>
              <w:spacing w:line="240" w:lineRule="atLeast"/>
              <w:jc w:val="left"/>
              <w:rPr>
                <w:rFonts w:ascii="Arial" w:hAnsi="Arial" w:cs="Arial"/>
                <w:color w:val="auto"/>
              </w:rPr>
            </w:pPr>
            <w:r>
              <w:rPr>
                <w:rFonts w:hint="eastAsia" w:ascii="Arial" w:hAnsi="Arial" w:cs="Arial"/>
                <w:color w:val="auto"/>
              </w:rPr>
              <w:t>上一</w:t>
            </w:r>
            <w:r>
              <w:rPr>
                <w:rFonts w:ascii="Arial" w:hAnsi="Arial" w:cs="Arial"/>
                <w:color w:val="auto"/>
              </w:rPr>
              <w:t>年度财务审计报告（复印件加盖单位公章）；</w:t>
            </w:r>
          </w:p>
          <w:p>
            <w:pPr>
              <w:spacing w:line="240" w:lineRule="atLeast"/>
              <w:jc w:val="left"/>
              <w:rPr>
                <w:rFonts w:ascii="Arial" w:hAnsi="Arial" w:cs="Arial"/>
                <w:color w:val="auto"/>
              </w:rPr>
            </w:pPr>
            <w:r>
              <w:rPr>
                <w:rFonts w:ascii="Arial" w:hAnsi="Arial" w:cs="Arial"/>
                <w:color w:val="auto"/>
              </w:rPr>
              <w:t>或银行在谈判日期前三个月内开具的资信证明（原件或复印件加盖单位公章）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6</w:t>
            </w:r>
          </w:p>
        </w:tc>
        <w:tc>
          <w:tcPr>
            <w:tcW w:w="7390" w:type="dxa"/>
            <w:vAlign w:val="center"/>
          </w:tcPr>
          <w:p>
            <w:pPr>
              <w:spacing w:line="240" w:lineRule="atLeast"/>
              <w:jc w:val="left"/>
              <w:rPr>
                <w:rFonts w:ascii="Arial" w:hAnsi="Arial" w:cs="Arial"/>
                <w:color w:val="auto"/>
              </w:rPr>
            </w:pPr>
            <w:r>
              <w:rPr>
                <w:rFonts w:hint="eastAsia" w:ascii="Arial" w:hAnsi="Arial" w:cs="Arial"/>
                <w:color w:val="auto"/>
              </w:rPr>
              <w:t>近期</w:t>
            </w:r>
            <w:r>
              <w:rPr>
                <w:rFonts w:ascii="Arial" w:hAnsi="Arial" w:cs="Arial"/>
                <w:color w:val="auto"/>
              </w:rPr>
              <w:t>任意一个月缴纳的社会保障资金记录凭证（复印件加盖单位公章）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7</w:t>
            </w:r>
          </w:p>
        </w:tc>
        <w:tc>
          <w:tcPr>
            <w:tcW w:w="7390" w:type="dxa"/>
            <w:vAlign w:val="center"/>
          </w:tcPr>
          <w:p>
            <w:pPr>
              <w:spacing w:line="240" w:lineRule="atLeast"/>
              <w:jc w:val="left"/>
              <w:rPr>
                <w:rFonts w:ascii="Arial" w:hAnsi="Arial" w:cs="Arial"/>
                <w:color w:val="auto"/>
              </w:rPr>
            </w:pPr>
            <w:r>
              <w:rPr>
                <w:rFonts w:hint="eastAsia" w:ascii="Arial" w:hAnsi="Arial" w:cs="Arial"/>
                <w:color w:val="auto"/>
              </w:rPr>
              <w:t>近期</w:t>
            </w:r>
            <w:r>
              <w:rPr>
                <w:rFonts w:ascii="Arial" w:hAnsi="Arial" w:cs="Arial"/>
                <w:color w:val="auto"/>
              </w:rPr>
              <w:t>任意一个月缴纳的税款记录</w:t>
            </w:r>
            <w:r>
              <w:rPr>
                <w:rFonts w:hint="eastAsia" w:ascii="Arial" w:hAnsi="Arial" w:cs="Arial"/>
                <w:color w:val="auto"/>
              </w:rPr>
              <w:t>证明</w:t>
            </w:r>
            <w:r>
              <w:rPr>
                <w:rFonts w:ascii="Arial" w:hAnsi="Arial" w:cs="Arial"/>
                <w:color w:val="auto"/>
              </w:rPr>
              <w:t>（复印件加盖单位公章）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8</w:t>
            </w:r>
          </w:p>
        </w:tc>
        <w:tc>
          <w:tcPr>
            <w:tcW w:w="7390" w:type="dxa"/>
            <w:vAlign w:val="center"/>
          </w:tcPr>
          <w:p>
            <w:pPr>
              <w:spacing w:line="240" w:lineRule="atLeast"/>
              <w:jc w:val="left"/>
              <w:rPr>
                <w:rFonts w:ascii="Arial" w:hAnsi="Arial" w:cs="Arial"/>
                <w:color w:val="auto"/>
              </w:rPr>
            </w:pPr>
            <w:r>
              <w:rPr>
                <w:rFonts w:ascii="Arial" w:hAnsi="Arial" w:cs="Arial"/>
                <w:color w:val="auto"/>
              </w:rPr>
              <w:t>参加政府采购活动近三年内，在经营活动中没有重大违法记录声明</w:t>
            </w:r>
          </w:p>
          <w:p>
            <w:pPr>
              <w:spacing w:line="240" w:lineRule="atLeast"/>
              <w:jc w:val="left"/>
              <w:rPr>
                <w:rFonts w:ascii="Arial" w:hAnsi="Arial" w:cs="Arial"/>
                <w:color w:val="auto"/>
              </w:rPr>
            </w:pPr>
            <w:r>
              <w:rPr>
                <w:rFonts w:ascii="Arial" w:hAnsi="Arial" w:cs="Arial"/>
                <w:color w:val="auto"/>
              </w:rPr>
              <w:t>（格式自拟，原件加盖单位公章）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9</w:t>
            </w:r>
          </w:p>
        </w:tc>
        <w:tc>
          <w:tcPr>
            <w:tcW w:w="7390" w:type="dxa"/>
            <w:vAlign w:val="center"/>
          </w:tcPr>
          <w:p>
            <w:pPr>
              <w:spacing w:line="240" w:lineRule="atLeast"/>
              <w:jc w:val="left"/>
              <w:rPr>
                <w:rFonts w:ascii="Arial" w:hAnsi="Arial" w:cs="Arial"/>
                <w:color w:val="auto"/>
              </w:rPr>
            </w:pPr>
            <w:r>
              <w:rPr>
                <w:rFonts w:hint="eastAsia" w:ascii="Arial" w:hAnsi="Arial" w:cs="Arial"/>
                <w:color w:val="auto"/>
              </w:rPr>
              <w:t>“信用中国”（www.creditchina.gov.cn）、中国政府采购网（www.ccgp.gov.cn）网站查询的投标单位近三年信用记录结果</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1</w:t>
            </w:r>
            <w:r>
              <w:rPr>
                <w:rFonts w:hint="eastAsia" w:ascii="Arial" w:hAnsi="Arial" w:cs="Arial"/>
                <w:color w:val="auto"/>
              </w:rPr>
              <w:t>0</w:t>
            </w:r>
          </w:p>
        </w:tc>
        <w:tc>
          <w:tcPr>
            <w:tcW w:w="7390" w:type="dxa"/>
            <w:vAlign w:val="center"/>
          </w:tcPr>
          <w:p>
            <w:pPr>
              <w:spacing w:line="240" w:lineRule="atLeast"/>
              <w:jc w:val="left"/>
              <w:rPr>
                <w:rFonts w:ascii="Arial" w:hAnsi="Arial" w:cs="Arial"/>
                <w:color w:val="auto"/>
              </w:rPr>
            </w:pPr>
            <w:r>
              <w:rPr>
                <w:rFonts w:ascii="Arial" w:hAnsi="Arial" w:cs="Arial"/>
                <w:color w:val="auto"/>
              </w:rPr>
              <w:t>成交服务费承诺书（原件加盖单位公章）</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91" w:type="dxa"/>
            <w:vAlign w:val="center"/>
          </w:tcPr>
          <w:p>
            <w:pPr>
              <w:spacing w:line="240" w:lineRule="atLeast"/>
              <w:jc w:val="center"/>
              <w:rPr>
                <w:rFonts w:ascii="Arial" w:hAnsi="Arial" w:cs="Arial"/>
                <w:color w:val="auto"/>
              </w:rPr>
            </w:pPr>
            <w:r>
              <w:rPr>
                <w:rFonts w:ascii="Arial" w:hAnsi="Arial" w:cs="Arial"/>
                <w:color w:val="auto"/>
              </w:rPr>
              <w:t>1</w:t>
            </w:r>
            <w:r>
              <w:rPr>
                <w:rFonts w:hint="eastAsia" w:ascii="Arial" w:hAnsi="Arial" w:cs="Arial"/>
                <w:color w:val="auto"/>
              </w:rPr>
              <w:t>1</w:t>
            </w:r>
          </w:p>
        </w:tc>
        <w:tc>
          <w:tcPr>
            <w:tcW w:w="7390" w:type="dxa"/>
            <w:vAlign w:val="center"/>
          </w:tcPr>
          <w:p>
            <w:pPr>
              <w:spacing w:line="240" w:lineRule="atLeast"/>
              <w:jc w:val="left"/>
              <w:rPr>
                <w:rFonts w:ascii="宋体" w:hAnsi="宋体"/>
                <w:color w:val="auto"/>
              </w:rPr>
            </w:pPr>
            <w:r>
              <w:rPr>
                <w:rFonts w:hint="eastAsia" w:ascii="宋体" w:hAnsi="宋体"/>
                <w:color w:val="auto"/>
              </w:rPr>
              <w:t>投标报价总金额不高于采购控制价总金额。</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91" w:type="dxa"/>
            <w:vAlign w:val="center"/>
          </w:tcPr>
          <w:p>
            <w:pPr>
              <w:spacing w:line="240" w:lineRule="atLeast"/>
              <w:jc w:val="center"/>
              <w:rPr>
                <w:rFonts w:ascii="Arial" w:hAnsi="Arial" w:cs="Arial"/>
                <w:color w:val="auto"/>
              </w:rPr>
            </w:pPr>
            <w:r>
              <w:rPr>
                <w:rFonts w:hint="eastAsia" w:ascii="Arial" w:hAnsi="Arial" w:cs="Arial"/>
                <w:color w:val="auto"/>
              </w:rPr>
              <w:t>12</w:t>
            </w:r>
          </w:p>
        </w:tc>
        <w:tc>
          <w:tcPr>
            <w:tcW w:w="7390" w:type="dxa"/>
            <w:vAlign w:val="center"/>
          </w:tcPr>
          <w:p>
            <w:pPr>
              <w:spacing w:line="240" w:lineRule="atLeast"/>
              <w:jc w:val="left"/>
              <w:rPr>
                <w:rFonts w:ascii="宋体" w:hAnsi="宋体"/>
                <w:color w:val="auto"/>
              </w:rPr>
            </w:pPr>
            <w:r>
              <w:rPr>
                <w:rFonts w:hint="eastAsia" w:ascii="宋体" w:hAnsi="宋体"/>
                <w:color w:val="auto"/>
              </w:rPr>
              <w:t>响应文件中没有提供虚假文件、磋商有效期不足或故意隐瞒不良业绩的情况。</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91" w:type="dxa"/>
            <w:vAlign w:val="center"/>
          </w:tcPr>
          <w:p>
            <w:pPr>
              <w:spacing w:line="240" w:lineRule="atLeast"/>
              <w:jc w:val="center"/>
              <w:rPr>
                <w:rFonts w:ascii="Arial" w:hAnsi="Arial" w:cs="Arial"/>
                <w:color w:val="auto"/>
              </w:rPr>
            </w:pPr>
            <w:r>
              <w:rPr>
                <w:rFonts w:hint="eastAsia" w:ascii="Arial" w:hAnsi="Arial" w:cs="Arial"/>
                <w:color w:val="auto"/>
              </w:rPr>
              <w:t>13</w:t>
            </w:r>
          </w:p>
        </w:tc>
        <w:tc>
          <w:tcPr>
            <w:tcW w:w="7390" w:type="dxa"/>
            <w:vAlign w:val="center"/>
          </w:tcPr>
          <w:p>
            <w:pPr>
              <w:spacing w:line="240" w:lineRule="atLeast"/>
              <w:jc w:val="left"/>
              <w:rPr>
                <w:rFonts w:ascii="宋体" w:hAnsi="宋体"/>
                <w:color w:val="auto"/>
              </w:rPr>
            </w:pPr>
            <w:r>
              <w:rPr>
                <w:rFonts w:hint="eastAsia"/>
                <w:color w:val="auto"/>
              </w:rPr>
              <w:t>法律、行政法规规定的其他条件</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081" w:type="dxa"/>
            <w:gridSpan w:val="2"/>
            <w:vAlign w:val="center"/>
          </w:tcPr>
          <w:p>
            <w:pPr>
              <w:spacing w:line="240" w:lineRule="atLeast"/>
              <w:jc w:val="center"/>
              <w:rPr>
                <w:rFonts w:ascii="宋体" w:hAnsi="宋体"/>
                <w:b/>
                <w:color w:val="auto"/>
              </w:rPr>
            </w:pPr>
            <w:r>
              <w:rPr>
                <w:rFonts w:hint="eastAsia" w:ascii="宋体" w:hAnsi="宋体"/>
                <w:b/>
                <w:color w:val="auto"/>
              </w:rPr>
              <w:t>审查结果（符合或不符合）</w:t>
            </w:r>
          </w:p>
        </w:tc>
        <w:tc>
          <w:tcPr>
            <w:tcW w:w="653" w:type="dxa"/>
          </w:tcPr>
          <w:p>
            <w:pPr>
              <w:spacing w:line="240" w:lineRule="atLeast"/>
              <w:rPr>
                <w:rFonts w:ascii="宋体" w:hAnsi="宋体"/>
                <w:color w:val="auto"/>
                <w:highlight w:val="yellow"/>
              </w:rPr>
            </w:pPr>
          </w:p>
        </w:tc>
        <w:tc>
          <w:tcPr>
            <w:tcW w:w="623" w:type="dxa"/>
          </w:tcPr>
          <w:p>
            <w:pPr>
              <w:spacing w:line="240" w:lineRule="atLeast"/>
              <w:rPr>
                <w:rFonts w:ascii="宋体" w:hAnsi="宋体"/>
                <w:color w:val="auto"/>
                <w:highlight w:val="yellow"/>
              </w:rPr>
            </w:pPr>
          </w:p>
        </w:tc>
        <w:tc>
          <w:tcPr>
            <w:tcW w:w="620" w:type="dxa"/>
          </w:tcPr>
          <w:p>
            <w:pPr>
              <w:spacing w:line="240" w:lineRule="atLeast"/>
              <w:rPr>
                <w:rFonts w:ascii="宋体" w:hAnsi="宋体"/>
                <w:color w:val="auto"/>
                <w:highlight w:val="yellow"/>
              </w:rPr>
            </w:pPr>
          </w:p>
        </w:tc>
      </w:tr>
    </w:tbl>
    <w:p>
      <w:pPr>
        <w:spacing w:line="240" w:lineRule="atLeast"/>
        <w:jc w:val="left"/>
        <w:rPr>
          <w:rFonts w:ascii="宋体" w:hAnsi="宋体"/>
          <w:color w:val="auto"/>
          <w:sz w:val="22"/>
        </w:rPr>
      </w:pPr>
      <w:r>
        <w:rPr>
          <w:rFonts w:hint="eastAsia" w:ascii="宋体" w:hAnsi="宋体"/>
          <w:color w:val="auto"/>
          <w:sz w:val="22"/>
        </w:rPr>
        <w:t>说明：本表由全体评审专家在共同评议的基础上给出结论；</w:t>
      </w:r>
    </w:p>
    <w:p>
      <w:pPr>
        <w:spacing w:line="240" w:lineRule="atLeast"/>
        <w:ind w:firstLine="660" w:firstLineChars="300"/>
        <w:jc w:val="left"/>
        <w:rPr>
          <w:rFonts w:ascii="宋体" w:hAnsi="宋体"/>
          <w:color w:val="auto"/>
          <w:sz w:val="22"/>
        </w:rPr>
      </w:pPr>
      <w:r>
        <w:rPr>
          <w:rFonts w:hint="eastAsia" w:ascii="宋体" w:hAnsi="宋体"/>
          <w:color w:val="auto"/>
          <w:sz w:val="22"/>
        </w:rPr>
        <w:t>评审专家意见不一致时，按照少数服从多数的原则确定。</w:t>
      </w:r>
    </w:p>
    <w:p>
      <w:pPr>
        <w:spacing w:line="240" w:lineRule="atLeast"/>
        <w:jc w:val="left"/>
        <w:rPr>
          <w:rFonts w:ascii="宋体" w:hAnsi="宋体"/>
          <w:b/>
          <w:color w:val="auto"/>
          <w:sz w:val="24"/>
        </w:rPr>
      </w:pPr>
    </w:p>
    <w:p>
      <w:pPr>
        <w:pStyle w:val="117"/>
        <w:spacing w:line="360" w:lineRule="auto"/>
        <w:ind w:right="178" w:rightChars="85"/>
        <w:rPr>
          <w:color w:val="auto"/>
          <w:sz w:val="21"/>
          <w:szCs w:val="21"/>
        </w:rPr>
      </w:pPr>
      <w:r>
        <w:rPr>
          <w:rFonts w:hint="eastAsia"/>
          <w:color w:val="auto"/>
          <w:sz w:val="21"/>
          <w:szCs w:val="21"/>
        </w:rPr>
        <w:t>三、评分标准</w:t>
      </w:r>
    </w:p>
    <w:tbl>
      <w:tblPr>
        <w:tblStyle w:val="36"/>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417"/>
        <w:gridCol w:w="507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38" w:type="dxa"/>
            <w:shd w:val="clear" w:color="auto" w:fill="auto"/>
            <w:vAlign w:val="center"/>
          </w:tcPr>
          <w:p>
            <w:pPr>
              <w:jc w:val="center"/>
              <w:rPr>
                <w:rFonts w:ascii="宋体" w:hAnsi="宋体" w:cs="宋体"/>
                <w:color w:val="auto"/>
              </w:rPr>
            </w:pPr>
            <w:r>
              <w:rPr>
                <w:rFonts w:hint="eastAsia" w:ascii="宋体" w:hAnsi="宋体" w:cs="宋体"/>
                <w:color w:val="auto"/>
              </w:rPr>
              <w:t>项目</w:t>
            </w:r>
          </w:p>
        </w:tc>
        <w:tc>
          <w:tcPr>
            <w:tcW w:w="6487" w:type="dxa"/>
            <w:gridSpan w:val="2"/>
            <w:shd w:val="clear" w:color="auto" w:fill="auto"/>
            <w:vAlign w:val="center"/>
          </w:tcPr>
          <w:p>
            <w:pPr>
              <w:jc w:val="center"/>
              <w:rPr>
                <w:rFonts w:ascii="宋体" w:hAnsi="宋体" w:cs="宋体"/>
                <w:color w:val="auto"/>
              </w:rPr>
            </w:pPr>
            <w:r>
              <w:rPr>
                <w:rFonts w:hint="eastAsia" w:ascii="宋体" w:hAnsi="宋体" w:cs="宋体"/>
                <w:color w:val="auto"/>
              </w:rPr>
              <w:t>评分内容</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538" w:type="dxa"/>
            <w:vMerge w:val="restart"/>
            <w:shd w:val="clear" w:color="auto" w:fill="auto"/>
            <w:vAlign w:val="center"/>
          </w:tcPr>
          <w:p>
            <w:pPr>
              <w:jc w:val="center"/>
              <w:rPr>
                <w:rFonts w:ascii="宋体" w:hAnsi="宋体" w:cs="宋体"/>
                <w:color w:val="auto"/>
              </w:rPr>
            </w:pPr>
            <w:r>
              <w:rPr>
                <w:rFonts w:hint="eastAsia" w:ascii="宋体" w:hAnsi="宋体" w:cs="宋体"/>
                <w:color w:val="auto"/>
              </w:rPr>
              <w:t>商务部分（30分）</w:t>
            </w:r>
          </w:p>
        </w:tc>
        <w:tc>
          <w:tcPr>
            <w:tcW w:w="1417" w:type="dxa"/>
            <w:shd w:val="clear" w:color="auto" w:fill="auto"/>
            <w:vAlign w:val="center"/>
          </w:tcPr>
          <w:p>
            <w:pPr>
              <w:jc w:val="left"/>
              <w:rPr>
                <w:rFonts w:ascii="宋体" w:hAnsi="宋体" w:cs="宋体"/>
                <w:color w:val="auto"/>
              </w:rPr>
            </w:pPr>
            <w:r>
              <w:rPr>
                <w:rFonts w:hint="eastAsia" w:cs="宋体" w:asciiTheme="minorEastAsia" w:hAnsiTheme="minorEastAsia" w:eastAsiaTheme="minorEastAsia"/>
                <w:bCs/>
                <w:color w:val="auto"/>
                <w:kern w:val="0"/>
              </w:rPr>
              <w:t>对商务条款的响应状况（2分）</w:t>
            </w:r>
          </w:p>
        </w:tc>
        <w:tc>
          <w:tcPr>
            <w:tcW w:w="5070" w:type="dxa"/>
            <w:shd w:val="clear" w:color="auto" w:fill="auto"/>
            <w:vAlign w:val="center"/>
          </w:tcPr>
          <w:p>
            <w:pPr>
              <w:spacing w:line="360" w:lineRule="auto"/>
              <w:rPr>
                <w:rFonts w:cs="宋体" w:asciiTheme="minorEastAsia" w:hAnsiTheme="minorEastAsia" w:eastAsiaTheme="minorEastAsia"/>
                <w:bCs/>
                <w:color w:val="auto"/>
                <w:kern w:val="0"/>
              </w:rPr>
            </w:pPr>
            <w:r>
              <w:rPr>
                <w:rFonts w:hint="eastAsia" w:cs="宋体" w:asciiTheme="minorEastAsia" w:hAnsiTheme="minorEastAsia" w:eastAsiaTheme="minorEastAsia"/>
                <w:bCs/>
                <w:color w:val="auto"/>
                <w:kern w:val="0"/>
              </w:rPr>
              <w:t>所有商务条款均满足或优于标书要求。（1-2分）</w:t>
            </w:r>
          </w:p>
          <w:p>
            <w:pPr>
              <w:rPr>
                <w:rFonts w:ascii="宋体" w:hAnsi="宋体" w:cs="宋体"/>
                <w:color w:val="auto"/>
              </w:rPr>
            </w:pPr>
            <w:r>
              <w:rPr>
                <w:rFonts w:hint="eastAsia" w:cs="宋体" w:asciiTheme="minorEastAsia" w:hAnsiTheme="minorEastAsia" w:eastAsiaTheme="minorEastAsia"/>
                <w:bCs/>
                <w:color w:val="auto"/>
                <w:kern w:val="0"/>
              </w:rPr>
              <w:t>有不满足要求项或有不利于招标人的条款。（0分）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shd w:val="clear" w:color="auto" w:fill="auto"/>
            <w:vAlign w:val="center"/>
          </w:tcPr>
          <w:p>
            <w:pPr>
              <w:jc w:val="left"/>
              <w:rPr>
                <w:rFonts w:ascii="宋体" w:hAnsi="宋体" w:cs="宋体"/>
                <w:color w:val="auto"/>
              </w:rPr>
            </w:pPr>
            <w:r>
              <w:rPr>
                <w:rFonts w:hint="eastAsia" w:ascii="宋体" w:hAnsi="宋体" w:cs="宋体"/>
                <w:color w:val="auto"/>
              </w:rPr>
              <w:t>业绩（20分）</w:t>
            </w:r>
          </w:p>
        </w:tc>
        <w:tc>
          <w:tcPr>
            <w:tcW w:w="5070" w:type="dxa"/>
            <w:shd w:val="clear" w:color="auto" w:fill="auto"/>
            <w:vAlign w:val="center"/>
          </w:tcPr>
          <w:p>
            <w:pPr>
              <w:jc w:val="center"/>
              <w:rPr>
                <w:rFonts w:ascii="宋体" w:hAnsi="宋体" w:cs="宋体"/>
                <w:color w:val="auto"/>
              </w:rPr>
            </w:pPr>
            <w:r>
              <w:rPr>
                <w:rFonts w:hint="eastAsia" w:ascii="宋体" w:hAnsi="宋体" w:cs="宋体"/>
                <w:color w:val="auto"/>
              </w:rPr>
              <w:t>供应商公司成立三年（含）以上，具有一个类似项目经验的得5分。（以供应商提供的成交通知书，或能够证明上述业绩真实性的合同复印件为准，最高不超过20分）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shd w:val="clear" w:color="auto" w:fill="auto"/>
            <w:vAlign w:val="center"/>
          </w:tcPr>
          <w:p>
            <w:pPr>
              <w:jc w:val="left"/>
              <w:rPr>
                <w:rFonts w:ascii="宋体" w:hAnsi="宋体" w:cs="宋体"/>
                <w:color w:val="auto"/>
              </w:rPr>
            </w:pPr>
            <w:r>
              <w:rPr>
                <w:rFonts w:hint="eastAsia" w:ascii="宋体" w:hAnsi="宋体" w:cs="宋体"/>
                <w:color w:val="auto"/>
              </w:rPr>
              <w:t>标书质量（5分）</w:t>
            </w:r>
          </w:p>
        </w:tc>
        <w:tc>
          <w:tcPr>
            <w:tcW w:w="5070" w:type="dxa"/>
            <w:shd w:val="clear" w:color="auto" w:fill="auto"/>
            <w:vAlign w:val="center"/>
          </w:tcPr>
          <w:p>
            <w:pPr>
              <w:jc w:val="center"/>
              <w:rPr>
                <w:rFonts w:ascii="宋体" w:hAnsi="宋体" w:cs="宋体"/>
                <w:color w:val="auto"/>
              </w:rPr>
            </w:pPr>
            <w:r>
              <w:rPr>
                <w:rFonts w:hint="eastAsia"/>
                <w:color w:val="auto"/>
              </w:rPr>
              <w:t>有目录索引、编页、排版等制作规范得</w:t>
            </w:r>
            <w:r>
              <w:rPr>
                <w:color w:val="auto"/>
              </w:rPr>
              <w:t xml:space="preserve"> 2.5 </w:t>
            </w:r>
            <w:r>
              <w:rPr>
                <w:rFonts w:hint="eastAsia"/>
                <w:color w:val="auto"/>
              </w:rPr>
              <w:t>分，每有一</w:t>
            </w:r>
            <w:r>
              <w:rPr>
                <w:color w:val="auto"/>
              </w:rPr>
              <w:t xml:space="preserve"> </w:t>
            </w:r>
            <w:r>
              <w:rPr>
                <w:rFonts w:hint="eastAsia"/>
                <w:color w:val="auto"/>
              </w:rPr>
              <w:t>处错误扣</w:t>
            </w:r>
            <w:r>
              <w:rPr>
                <w:color w:val="auto"/>
              </w:rPr>
              <w:t xml:space="preserve"> 1 </w:t>
            </w:r>
            <w:r>
              <w:rPr>
                <w:rFonts w:hint="eastAsia"/>
                <w:color w:val="auto"/>
              </w:rPr>
              <w:t>分，最低</w:t>
            </w:r>
            <w:r>
              <w:rPr>
                <w:color w:val="auto"/>
              </w:rPr>
              <w:t xml:space="preserve"> 0 </w:t>
            </w:r>
            <w:r>
              <w:rPr>
                <w:rFonts w:hint="eastAsia"/>
                <w:color w:val="auto"/>
              </w:rPr>
              <w:t>分。</w:t>
            </w:r>
            <w:r>
              <w:rPr>
                <w:color w:val="auto"/>
              </w:rPr>
              <w:t xml:space="preserve"> </w:t>
            </w:r>
            <w:r>
              <w:rPr>
                <w:rFonts w:hint="eastAsia"/>
                <w:color w:val="auto"/>
              </w:rPr>
              <w:t>证件复印正文内容清晰得</w:t>
            </w:r>
            <w:r>
              <w:rPr>
                <w:color w:val="auto"/>
              </w:rPr>
              <w:t xml:space="preserve"> 2 .5</w:t>
            </w:r>
            <w:r>
              <w:rPr>
                <w:rFonts w:hint="eastAsia"/>
                <w:color w:val="auto"/>
              </w:rPr>
              <w:t>分，每有一个证件或一页</w:t>
            </w:r>
            <w:r>
              <w:rPr>
                <w:color w:val="auto"/>
              </w:rPr>
              <w:t xml:space="preserve"> </w:t>
            </w:r>
            <w:r>
              <w:rPr>
                <w:rFonts w:hint="eastAsia"/>
                <w:color w:val="auto"/>
              </w:rPr>
              <w:t>不清晰扣</w:t>
            </w:r>
            <w:r>
              <w:rPr>
                <w:color w:val="auto"/>
              </w:rPr>
              <w:t xml:space="preserve"> 0.5 </w:t>
            </w:r>
            <w:r>
              <w:rPr>
                <w:rFonts w:hint="eastAsia"/>
                <w:color w:val="auto"/>
              </w:rPr>
              <w:t>分，最低</w:t>
            </w:r>
            <w:r>
              <w:rPr>
                <w:color w:val="auto"/>
              </w:rPr>
              <w:t xml:space="preserve"> 0 </w:t>
            </w:r>
            <w:r>
              <w:rPr>
                <w:rFonts w:hint="eastAsia"/>
                <w:color w:val="auto"/>
              </w:rPr>
              <w:t>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shd w:val="clear" w:color="auto" w:fill="auto"/>
            <w:vAlign w:val="center"/>
          </w:tcPr>
          <w:p>
            <w:pPr>
              <w:jc w:val="left"/>
              <w:rPr>
                <w:rFonts w:ascii="宋体" w:hAnsi="宋体" w:cs="宋体"/>
                <w:color w:val="auto"/>
              </w:rPr>
            </w:pPr>
            <w:r>
              <w:rPr>
                <w:rFonts w:hint="eastAsia"/>
                <w:color w:val="auto"/>
              </w:rPr>
              <w:t>项目负责人情况（3分）</w:t>
            </w:r>
          </w:p>
        </w:tc>
        <w:tc>
          <w:tcPr>
            <w:tcW w:w="5070" w:type="dxa"/>
            <w:shd w:val="clear" w:color="auto" w:fill="auto"/>
            <w:vAlign w:val="center"/>
          </w:tcPr>
          <w:p>
            <w:pPr>
              <w:jc w:val="center"/>
              <w:rPr>
                <w:rFonts w:ascii="宋体" w:hAnsi="宋体" w:cs="宋体"/>
                <w:color w:val="auto"/>
              </w:rPr>
            </w:pPr>
            <w:r>
              <w:rPr>
                <w:rFonts w:hint="eastAsia"/>
                <w:color w:val="auto"/>
              </w:rPr>
              <w:t>提供项目负责人相关服务业绩，得3分，没有不得分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38" w:type="dxa"/>
            <w:vMerge w:val="restart"/>
            <w:shd w:val="clear" w:color="auto" w:fill="auto"/>
            <w:vAlign w:val="center"/>
          </w:tcPr>
          <w:p>
            <w:pPr>
              <w:jc w:val="center"/>
              <w:rPr>
                <w:rFonts w:ascii="宋体" w:hAnsi="宋体" w:cs="宋体"/>
                <w:color w:val="auto"/>
              </w:rPr>
            </w:pPr>
            <w:r>
              <w:rPr>
                <w:rFonts w:hint="eastAsia" w:ascii="宋体" w:hAnsi="宋体" w:cs="宋体"/>
                <w:color w:val="auto"/>
              </w:rPr>
              <w:t>技术部分（65分）</w:t>
            </w:r>
          </w:p>
        </w:tc>
        <w:tc>
          <w:tcPr>
            <w:tcW w:w="1417" w:type="dxa"/>
            <w:vMerge w:val="restart"/>
            <w:shd w:val="clear" w:color="auto" w:fill="auto"/>
            <w:vAlign w:val="center"/>
          </w:tcPr>
          <w:p>
            <w:pPr>
              <w:jc w:val="left"/>
              <w:rPr>
                <w:rFonts w:ascii="宋体" w:hAnsi="宋体" w:cs="宋体"/>
                <w:color w:val="auto"/>
                <w:highlight w:val="yellow"/>
              </w:rPr>
            </w:pPr>
            <w:r>
              <w:rPr>
                <w:rFonts w:hint="eastAsia" w:ascii="宋体" w:hAnsi="宋体" w:cs="宋体"/>
                <w:color w:val="auto"/>
              </w:rPr>
              <w:t>根据服务要求，做出具体详细的技术服务方案。横向比较。（25分）</w:t>
            </w:r>
          </w:p>
        </w:tc>
        <w:tc>
          <w:tcPr>
            <w:tcW w:w="507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服务方案合理可行、针对性强</w:t>
            </w:r>
          </w:p>
        </w:tc>
        <w:tc>
          <w:tcPr>
            <w:tcW w:w="106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left"/>
              <w:rPr>
                <w:rFonts w:ascii="宋体" w:hAnsi="宋体" w:cs="宋体"/>
                <w:color w:val="auto"/>
                <w:highlight w:val="yellow"/>
              </w:rPr>
            </w:pPr>
          </w:p>
        </w:tc>
        <w:tc>
          <w:tcPr>
            <w:tcW w:w="507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服务方案</w:t>
            </w:r>
            <w:r>
              <w:rPr>
                <w:rFonts w:hint="eastAsia" w:ascii="宋体" w:hAnsi="宋体" w:cs="仿宋"/>
                <w:color w:val="auto"/>
              </w:rPr>
              <w:t>较合理可行、针对性较强</w:t>
            </w:r>
          </w:p>
        </w:tc>
        <w:tc>
          <w:tcPr>
            <w:tcW w:w="106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left"/>
              <w:rPr>
                <w:rFonts w:ascii="宋体" w:hAnsi="宋体" w:cs="宋体"/>
                <w:color w:val="auto"/>
                <w:highlight w:val="yellow"/>
              </w:rPr>
            </w:pPr>
          </w:p>
        </w:tc>
        <w:tc>
          <w:tcPr>
            <w:tcW w:w="507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服务方案</w:t>
            </w:r>
            <w:r>
              <w:rPr>
                <w:rFonts w:hint="eastAsia" w:ascii="宋体" w:hAnsi="宋体" w:cs="仿宋"/>
                <w:color w:val="auto"/>
              </w:rPr>
              <w:t>不够全面、针对性不强</w:t>
            </w:r>
          </w:p>
        </w:tc>
        <w:tc>
          <w:tcPr>
            <w:tcW w:w="106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left"/>
              <w:rPr>
                <w:rFonts w:ascii="宋体" w:hAnsi="宋体" w:cs="宋体"/>
                <w:color w:val="auto"/>
                <w:highlight w:val="yellow"/>
              </w:rPr>
            </w:pPr>
          </w:p>
        </w:tc>
        <w:tc>
          <w:tcPr>
            <w:tcW w:w="507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服务方案</w:t>
            </w:r>
            <w:r>
              <w:rPr>
                <w:rFonts w:hint="eastAsia" w:ascii="宋体" w:hAnsi="宋体" w:cs="仿宋"/>
                <w:color w:val="auto"/>
              </w:rPr>
              <w:t>不可行、针对性较差</w:t>
            </w:r>
          </w:p>
        </w:tc>
        <w:tc>
          <w:tcPr>
            <w:tcW w:w="1060" w:type="dxa"/>
            <w:shd w:val="clear" w:color="auto" w:fill="auto"/>
            <w:vAlign w:val="center"/>
          </w:tcPr>
          <w:p>
            <w:pPr>
              <w:jc w:val="center"/>
              <w:rPr>
                <w:rFonts w:ascii="宋体" w:hAnsi="宋体" w:cs="宋体"/>
                <w:color w:val="auto"/>
                <w:highlight w:val="yellow"/>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left"/>
              <w:rPr>
                <w:rFonts w:ascii="宋体" w:hAnsi="宋体" w:cs="宋体"/>
                <w:color w:val="auto"/>
                <w:highlight w:val="yellow"/>
              </w:rPr>
            </w:pPr>
          </w:p>
        </w:tc>
        <w:tc>
          <w:tcPr>
            <w:tcW w:w="5070" w:type="dxa"/>
            <w:shd w:val="clear" w:color="auto" w:fill="auto"/>
            <w:vAlign w:val="center"/>
          </w:tcPr>
          <w:p>
            <w:pPr>
              <w:jc w:val="center"/>
              <w:rPr>
                <w:rFonts w:ascii="宋体" w:hAnsi="宋体" w:cs="宋体"/>
                <w:color w:val="auto"/>
              </w:rPr>
            </w:pPr>
            <w:r>
              <w:rPr>
                <w:rFonts w:hint="eastAsia" w:ascii="宋体" w:hAnsi="宋体" w:cs="宋体"/>
                <w:color w:val="auto"/>
              </w:rPr>
              <w:t>不提供不得分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restart"/>
            <w:shd w:val="clear" w:color="auto" w:fill="auto"/>
            <w:vAlign w:val="center"/>
          </w:tcPr>
          <w:p>
            <w:pPr>
              <w:jc w:val="left"/>
              <w:rPr>
                <w:rFonts w:ascii="宋体" w:hAnsi="宋体" w:cs="宋体"/>
                <w:color w:val="auto"/>
                <w:highlight w:val="yellow"/>
              </w:rPr>
            </w:pPr>
            <w:r>
              <w:rPr>
                <w:rFonts w:hint="eastAsia" w:ascii="宋体" w:hAnsi="宋体" w:cs="宋体"/>
                <w:color w:val="auto"/>
              </w:rPr>
              <w:t>人员配备（10分）</w:t>
            </w:r>
          </w:p>
        </w:tc>
        <w:tc>
          <w:tcPr>
            <w:tcW w:w="5070" w:type="dxa"/>
            <w:shd w:val="clear" w:color="auto" w:fill="auto"/>
            <w:vAlign w:val="center"/>
          </w:tcPr>
          <w:p>
            <w:pPr>
              <w:jc w:val="center"/>
              <w:rPr>
                <w:rFonts w:ascii="宋体" w:hAnsi="宋体" w:cs="宋体"/>
                <w:color w:val="auto"/>
              </w:rPr>
            </w:pPr>
            <w:r>
              <w:rPr>
                <w:rFonts w:hint="eastAsia" w:ascii="宋体" w:hAnsi="宋体" w:cs="宋体"/>
                <w:color w:val="auto"/>
              </w:rPr>
              <w:t>人员配备数量充足合理、职责清晰明确、现场保障能力强的、完全满足用户实际需求的，并能提供相应的社保证明</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rFonts w:ascii="宋体" w:hAnsi="宋体" w:cs="宋体"/>
                <w:color w:val="auto"/>
              </w:rPr>
            </w:pPr>
            <w:r>
              <w:rPr>
                <w:rFonts w:hint="eastAsia"/>
                <w:color w:val="auto"/>
              </w:rPr>
              <w:t>人员结构及配置规模、职责安排基本满足需求，</w:t>
            </w:r>
            <w:r>
              <w:rPr>
                <w:rFonts w:hint="eastAsia" w:ascii="宋体" w:hAnsi="宋体" w:cs="宋体"/>
                <w:color w:val="auto"/>
              </w:rPr>
              <w:t>并能提供相应的社保证明</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center"/>
              <w:rPr>
                <w:rFonts w:ascii="宋体" w:hAnsi="宋体" w:cs="宋体"/>
                <w:color w:val="auto"/>
              </w:rPr>
            </w:pPr>
          </w:p>
        </w:tc>
        <w:tc>
          <w:tcPr>
            <w:tcW w:w="5070" w:type="dxa"/>
            <w:shd w:val="clear" w:color="auto" w:fill="auto"/>
            <w:vAlign w:val="center"/>
          </w:tcPr>
          <w:p>
            <w:pPr>
              <w:jc w:val="center"/>
              <w:rPr>
                <w:rFonts w:ascii="宋体" w:hAnsi="宋体" w:cs="宋体"/>
                <w:color w:val="auto"/>
              </w:rPr>
            </w:pPr>
            <w:r>
              <w:rPr>
                <w:rFonts w:hint="eastAsia"/>
                <w:color w:val="auto"/>
              </w:rPr>
              <w:t>人员结构及配置规模、职责安排不满足需求，</w:t>
            </w:r>
            <w:r>
              <w:rPr>
                <w:rFonts w:hint="eastAsia" w:ascii="宋体" w:hAnsi="宋体" w:cs="宋体"/>
                <w:color w:val="auto"/>
              </w:rPr>
              <w:t>并能提供相应的社保证明</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center"/>
              <w:rPr>
                <w:rFonts w:ascii="宋体" w:hAnsi="宋体" w:cs="宋体"/>
                <w:color w:val="auto"/>
              </w:rPr>
            </w:pPr>
          </w:p>
        </w:tc>
        <w:tc>
          <w:tcPr>
            <w:tcW w:w="5070" w:type="dxa"/>
            <w:shd w:val="clear" w:color="auto" w:fill="auto"/>
            <w:vAlign w:val="center"/>
          </w:tcPr>
          <w:p>
            <w:pPr>
              <w:jc w:val="center"/>
              <w:rPr>
                <w:color w:val="auto"/>
              </w:rPr>
            </w:pPr>
            <w:r>
              <w:rPr>
                <w:rFonts w:hint="eastAsia"/>
                <w:color w:val="auto"/>
              </w:rPr>
              <w:t>人员结构及配置规模、职责安排不完善需求，未提供社保的</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center"/>
              <w:rPr>
                <w:rFonts w:ascii="宋体" w:hAnsi="宋体" w:cs="宋体"/>
                <w:color w:val="auto"/>
              </w:rPr>
            </w:pPr>
          </w:p>
        </w:tc>
        <w:tc>
          <w:tcPr>
            <w:tcW w:w="5070" w:type="dxa"/>
            <w:shd w:val="clear" w:color="auto" w:fill="auto"/>
            <w:vAlign w:val="center"/>
          </w:tcPr>
          <w:p>
            <w:pPr>
              <w:jc w:val="center"/>
              <w:rPr>
                <w:rFonts w:ascii="宋体" w:hAnsi="宋体" w:cs="宋体"/>
                <w:color w:val="auto"/>
              </w:rPr>
            </w:pPr>
            <w:r>
              <w:rPr>
                <w:rFonts w:hint="eastAsia" w:ascii="宋体" w:hAnsi="宋体" w:cs="宋体"/>
                <w:color w:val="auto"/>
              </w:rPr>
              <w:t>不提供不得分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restart"/>
            <w:shd w:val="clear" w:color="auto" w:fill="auto"/>
            <w:vAlign w:val="center"/>
          </w:tcPr>
          <w:p>
            <w:pPr>
              <w:jc w:val="left"/>
              <w:rPr>
                <w:rFonts w:ascii="宋体" w:hAnsi="宋体" w:cs="宋体"/>
                <w:color w:val="auto"/>
              </w:rPr>
            </w:pPr>
            <w:r>
              <w:rPr>
                <w:rFonts w:hint="eastAsia"/>
                <w:color w:val="auto"/>
              </w:rPr>
              <w:t>紧急情况处理</w:t>
            </w:r>
            <w:r>
              <w:rPr>
                <w:rFonts w:hint="eastAsia" w:ascii="宋体" w:hAnsi="宋体" w:cs="宋体"/>
                <w:color w:val="auto"/>
              </w:rPr>
              <w:t>措施，</w:t>
            </w:r>
            <w:r>
              <w:rPr>
                <w:rFonts w:hint="eastAsia" w:ascii="宋体" w:hAnsi="宋体" w:cs="仿宋"/>
                <w:color w:val="auto"/>
              </w:rPr>
              <w:t>针对突发事件的防范措施及应急处理措施（10分）</w:t>
            </w:r>
          </w:p>
        </w:tc>
        <w:tc>
          <w:tcPr>
            <w:tcW w:w="5070" w:type="dxa"/>
            <w:shd w:val="clear" w:color="auto" w:fill="auto"/>
            <w:vAlign w:val="center"/>
          </w:tcPr>
          <w:p>
            <w:pPr>
              <w:jc w:val="center"/>
              <w:rPr>
                <w:rFonts w:ascii="宋体" w:hAnsi="宋体" w:cs="宋体"/>
                <w:color w:val="auto"/>
              </w:rPr>
            </w:pPr>
            <w:r>
              <w:rPr>
                <w:rFonts w:hint="eastAsia" w:ascii="宋体" w:hAnsi="宋体" w:cs="宋体"/>
                <w:color w:val="auto"/>
              </w:rPr>
              <w:t>服务方案合理可行、针对性强</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rFonts w:ascii="宋体" w:hAnsi="宋体" w:cs="宋体"/>
                <w:color w:val="auto"/>
              </w:rPr>
            </w:pPr>
            <w:r>
              <w:rPr>
                <w:rFonts w:hint="eastAsia" w:ascii="宋体" w:hAnsi="宋体" w:cs="仿宋"/>
                <w:color w:val="auto"/>
              </w:rPr>
              <w:t>措施较合理可行、针对性较强</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center"/>
              <w:rPr>
                <w:rFonts w:ascii="宋体" w:hAnsi="宋体" w:cs="宋体"/>
                <w:color w:val="auto"/>
              </w:rPr>
            </w:pPr>
          </w:p>
        </w:tc>
        <w:tc>
          <w:tcPr>
            <w:tcW w:w="5070" w:type="dxa"/>
            <w:shd w:val="clear" w:color="auto" w:fill="auto"/>
            <w:vAlign w:val="center"/>
          </w:tcPr>
          <w:p>
            <w:pPr>
              <w:jc w:val="center"/>
              <w:rPr>
                <w:rFonts w:ascii="宋体" w:hAnsi="宋体" w:cs="宋体"/>
                <w:color w:val="auto"/>
              </w:rPr>
            </w:pPr>
            <w:r>
              <w:rPr>
                <w:rFonts w:hint="eastAsia" w:ascii="宋体" w:hAnsi="宋体" w:cs="仿宋"/>
                <w:color w:val="auto"/>
              </w:rPr>
              <w:t>措施不够全面、针对性不强</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continue"/>
            <w:shd w:val="clear" w:color="auto" w:fill="auto"/>
            <w:vAlign w:val="center"/>
          </w:tcPr>
          <w:p>
            <w:pPr>
              <w:jc w:val="center"/>
              <w:rPr>
                <w:rFonts w:ascii="宋体" w:hAnsi="宋体" w:cs="宋体"/>
                <w:color w:val="auto"/>
              </w:rPr>
            </w:pPr>
          </w:p>
        </w:tc>
        <w:tc>
          <w:tcPr>
            <w:tcW w:w="5070" w:type="dxa"/>
            <w:shd w:val="clear" w:color="auto" w:fill="auto"/>
            <w:vAlign w:val="center"/>
          </w:tcPr>
          <w:p>
            <w:pPr>
              <w:jc w:val="center"/>
              <w:rPr>
                <w:rFonts w:ascii="宋体" w:hAnsi="宋体" w:cs="仿宋"/>
                <w:color w:val="auto"/>
              </w:rPr>
            </w:pPr>
            <w:r>
              <w:rPr>
                <w:rFonts w:hint="eastAsia" w:ascii="宋体" w:hAnsi="宋体" w:cs="仿宋"/>
                <w:color w:val="auto"/>
              </w:rPr>
              <w:t>措施不可行、针对性较差</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38" w:type="dxa"/>
            <w:vMerge w:val="continue"/>
            <w:shd w:val="clear" w:color="auto" w:fill="auto"/>
            <w:vAlign w:val="center"/>
          </w:tcPr>
          <w:p>
            <w:pPr>
              <w:jc w:val="center"/>
              <w:rPr>
                <w:rFonts w:ascii="宋体" w:hAnsi="宋体" w:cs="宋体"/>
                <w:color w:val="auto"/>
              </w:rPr>
            </w:pPr>
          </w:p>
        </w:tc>
        <w:tc>
          <w:tcPr>
            <w:tcW w:w="1417" w:type="dxa"/>
            <w:vMerge w:val="restart"/>
            <w:shd w:val="clear" w:color="auto" w:fill="auto"/>
            <w:vAlign w:val="center"/>
          </w:tcPr>
          <w:p>
            <w:pPr>
              <w:jc w:val="center"/>
              <w:rPr>
                <w:rFonts w:ascii="宋体" w:hAnsi="宋体" w:cs="宋体"/>
                <w:color w:val="auto"/>
              </w:rPr>
            </w:pPr>
            <w:r>
              <w:rPr>
                <w:rFonts w:hint="eastAsia"/>
                <w:color w:val="auto"/>
              </w:rPr>
              <w:t>服务承诺（5分）</w:t>
            </w:r>
          </w:p>
        </w:tc>
        <w:tc>
          <w:tcPr>
            <w:tcW w:w="5070" w:type="dxa"/>
            <w:shd w:val="clear" w:color="auto" w:fill="auto"/>
            <w:vAlign w:val="center"/>
          </w:tcPr>
          <w:p>
            <w:pPr>
              <w:spacing w:line="259" w:lineRule="auto"/>
              <w:rPr>
                <w:color w:val="auto"/>
              </w:rPr>
            </w:pPr>
            <w:r>
              <w:rPr>
                <w:rFonts w:hint="eastAsia"/>
                <w:color w:val="auto"/>
              </w:rPr>
              <w:t>针对本项目提出的服务及技术支持。</w:t>
            </w:r>
          </w:p>
          <w:p>
            <w:pPr>
              <w:jc w:val="center"/>
              <w:rPr>
                <w:rFonts w:ascii="宋体" w:hAnsi="宋体" w:cs="仿宋"/>
                <w:color w:val="auto"/>
              </w:rPr>
            </w:pPr>
            <w:r>
              <w:rPr>
                <w:rFonts w:hint="eastAsia"/>
                <w:color w:val="auto"/>
              </w:rPr>
              <w:t>所提供的服务承诺阐述合理、明确，有针对性的问题响应承诺，有合理的服务组织设计，描述充分</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rFonts w:ascii="宋体" w:hAnsi="宋体" w:cs="仿宋"/>
                <w:color w:val="auto"/>
              </w:rPr>
            </w:pPr>
            <w:r>
              <w:rPr>
                <w:rFonts w:hint="eastAsia"/>
                <w:color w:val="auto"/>
              </w:rPr>
              <w:t>所提供的服务承诺有问题响应承诺，有服务组织设计，描述内容一般</w:t>
            </w:r>
          </w:p>
        </w:tc>
        <w:tc>
          <w:tcPr>
            <w:tcW w:w="1060" w:type="dxa"/>
            <w:shd w:val="clear" w:color="auto" w:fill="auto"/>
            <w:vAlign w:val="center"/>
          </w:tcPr>
          <w:p>
            <w:pPr>
              <w:jc w:val="center"/>
              <w:rPr>
                <w:rFonts w:ascii="宋体" w:hAnsi="宋体" w:cs="仿宋"/>
                <w:color w:val="auto"/>
              </w:rPr>
            </w:pPr>
            <w:r>
              <w:rPr>
                <w:rFonts w:hint="eastAsia" w:ascii="宋体" w:hAnsi="宋体" w:cs="仿宋"/>
                <w:color w:val="auto"/>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38" w:type="dxa"/>
            <w:vMerge w:val="continue"/>
            <w:shd w:val="clear" w:color="auto" w:fill="auto"/>
            <w:vAlign w:val="center"/>
          </w:tcPr>
          <w:p>
            <w:pPr>
              <w:jc w:val="center"/>
              <w:rPr>
                <w:rFonts w:ascii="宋体" w:hAnsi="宋体" w:cs="仿宋"/>
                <w:color w:val="auto"/>
              </w:rPr>
            </w:pPr>
          </w:p>
        </w:tc>
        <w:tc>
          <w:tcPr>
            <w:tcW w:w="1417" w:type="dxa"/>
            <w:vMerge w:val="continue"/>
            <w:shd w:val="clear" w:color="auto" w:fill="auto"/>
            <w:vAlign w:val="center"/>
          </w:tcPr>
          <w:p>
            <w:pPr>
              <w:jc w:val="center"/>
              <w:rPr>
                <w:rFonts w:ascii="宋体" w:hAnsi="宋体" w:cs="仿宋"/>
                <w:color w:val="auto"/>
              </w:rPr>
            </w:pPr>
          </w:p>
        </w:tc>
        <w:tc>
          <w:tcPr>
            <w:tcW w:w="5070" w:type="dxa"/>
            <w:shd w:val="clear" w:color="auto" w:fill="auto"/>
            <w:vAlign w:val="center"/>
          </w:tcPr>
          <w:p>
            <w:pPr>
              <w:jc w:val="center"/>
              <w:rPr>
                <w:rFonts w:ascii="宋体" w:hAnsi="宋体" w:cs="仿宋"/>
                <w:color w:val="auto"/>
              </w:rPr>
            </w:pPr>
            <w:r>
              <w:rPr>
                <w:rFonts w:hint="eastAsia"/>
                <w:color w:val="auto"/>
              </w:rPr>
              <w:t>所提供的服务承诺有问题响应承诺，有服务组织设计，描述不详尽，有缺陷</w:t>
            </w:r>
          </w:p>
        </w:tc>
        <w:tc>
          <w:tcPr>
            <w:tcW w:w="1060" w:type="dxa"/>
            <w:shd w:val="clear" w:color="auto" w:fill="auto"/>
            <w:vAlign w:val="center"/>
          </w:tcPr>
          <w:p>
            <w:pPr>
              <w:jc w:val="center"/>
              <w:rPr>
                <w:rFonts w:ascii="宋体" w:hAnsi="宋体" w:cs="仿宋"/>
                <w:color w:val="auto"/>
              </w:rPr>
            </w:pPr>
            <w:r>
              <w:rPr>
                <w:rFonts w:hint="eastAsia" w:ascii="宋体" w:hAnsi="宋体" w:cs="仿宋"/>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538" w:type="dxa"/>
            <w:vMerge w:val="continue"/>
            <w:shd w:val="clear" w:color="auto" w:fill="auto"/>
            <w:vAlign w:val="center"/>
          </w:tcPr>
          <w:p>
            <w:pPr>
              <w:jc w:val="center"/>
              <w:rPr>
                <w:rFonts w:ascii="宋体" w:hAnsi="宋体" w:cs="仿宋"/>
                <w:color w:val="auto"/>
              </w:rPr>
            </w:pPr>
          </w:p>
        </w:tc>
        <w:tc>
          <w:tcPr>
            <w:tcW w:w="1417" w:type="dxa"/>
            <w:vMerge w:val="restart"/>
            <w:shd w:val="clear" w:color="auto" w:fill="auto"/>
            <w:vAlign w:val="center"/>
          </w:tcPr>
          <w:p>
            <w:pPr>
              <w:jc w:val="center"/>
              <w:rPr>
                <w:rFonts w:ascii="宋体" w:hAnsi="宋体" w:cs="仿宋"/>
                <w:color w:val="auto"/>
              </w:rPr>
            </w:pPr>
            <w:r>
              <w:rPr>
                <w:rFonts w:hint="eastAsia"/>
                <w:color w:val="auto"/>
              </w:rPr>
              <w:t>履约能力（10分）</w:t>
            </w:r>
          </w:p>
        </w:tc>
        <w:tc>
          <w:tcPr>
            <w:tcW w:w="5070" w:type="dxa"/>
            <w:shd w:val="clear" w:color="auto" w:fill="auto"/>
            <w:vAlign w:val="center"/>
          </w:tcPr>
          <w:p>
            <w:pPr>
              <w:jc w:val="center"/>
              <w:rPr>
                <w:color w:val="auto"/>
              </w:rPr>
            </w:pPr>
            <w:r>
              <w:rPr>
                <w:rFonts w:hint="eastAsia"/>
                <w:color w:val="auto"/>
              </w:rPr>
              <w:t>项目可行的进度计划、管理制度、人员配备情况进行综合评价，完善，全面，合理</w:t>
            </w:r>
          </w:p>
        </w:tc>
        <w:tc>
          <w:tcPr>
            <w:tcW w:w="1060" w:type="dxa"/>
            <w:shd w:val="clear" w:color="auto" w:fill="auto"/>
            <w:vAlign w:val="center"/>
          </w:tcPr>
          <w:p>
            <w:pPr>
              <w:jc w:val="center"/>
              <w:rPr>
                <w:rFonts w:ascii="宋体" w:hAnsi="宋体" w:cs="仿宋"/>
                <w:color w:val="auto"/>
              </w:rPr>
            </w:pPr>
            <w:r>
              <w:rPr>
                <w:rFonts w:hint="eastAsia" w:ascii="宋体" w:hAnsi="宋体" w:cs="仿宋"/>
                <w:color w:val="auto"/>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color w:val="auto"/>
              </w:rPr>
            </w:pPr>
            <w:r>
              <w:rPr>
                <w:rFonts w:hint="eastAsia"/>
                <w:color w:val="auto"/>
              </w:rPr>
              <w:t>项目可行的进度计划、管理制度、人员配备情况进行综合评价，较完善，较全面，较合理</w:t>
            </w:r>
          </w:p>
        </w:tc>
        <w:tc>
          <w:tcPr>
            <w:tcW w:w="1060" w:type="dxa"/>
            <w:shd w:val="clear" w:color="auto" w:fill="auto"/>
            <w:vAlign w:val="center"/>
          </w:tcPr>
          <w:p>
            <w:pPr>
              <w:jc w:val="center"/>
              <w:rPr>
                <w:color w:val="auto"/>
              </w:rPr>
            </w:pPr>
            <w:r>
              <w:rPr>
                <w:rFonts w:hint="eastAsia"/>
                <w:color w:val="auto"/>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color w:val="auto"/>
              </w:rPr>
            </w:pPr>
            <w:r>
              <w:rPr>
                <w:rFonts w:hint="eastAsia"/>
                <w:color w:val="auto"/>
              </w:rPr>
              <w:t>项目可行的进度计划、管理制度、人员配备情况进行综合评价，不完善，不全面，不合理</w:t>
            </w:r>
          </w:p>
        </w:tc>
        <w:tc>
          <w:tcPr>
            <w:tcW w:w="1060" w:type="dxa"/>
            <w:shd w:val="clear" w:color="auto" w:fill="auto"/>
            <w:vAlign w:val="center"/>
          </w:tcPr>
          <w:p>
            <w:pPr>
              <w:jc w:val="center"/>
              <w:rPr>
                <w:color w:val="auto"/>
              </w:rPr>
            </w:pPr>
            <w:r>
              <w:rPr>
                <w:rFonts w:hint="eastAsia"/>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38" w:type="dxa"/>
            <w:vMerge w:val="continue"/>
            <w:shd w:val="clear" w:color="auto" w:fill="auto"/>
            <w:vAlign w:val="center"/>
          </w:tcPr>
          <w:p>
            <w:pPr>
              <w:jc w:val="center"/>
              <w:rPr>
                <w:color w:val="auto"/>
              </w:rPr>
            </w:pPr>
          </w:p>
        </w:tc>
        <w:tc>
          <w:tcPr>
            <w:tcW w:w="1417" w:type="dxa"/>
            <w:vMerge w:val="restart"/>
            <w:shd w:val="clear" w:color="auto" w:fill="auto"/>
            <w:vAlign w:val="center"/>
          </w:tcPr>
          <w:p>
            <w:pPr>
              <w:jc w:val="center"/>
              <w:rPr>
                <w:color w:val="auto"/>
              </w:rPr>
            </w:pPr>
            <w:r>
              <w:rPr>
                <w:rFonts w:hint="eastAsia"/>
                <w:color w:val="auto"/>
              </w:rPr>
              <w:t>项目理解及需求分析（5分）</w:t>
            </w:r>
          </w:p>
        </w:tc>
        <w:tc>
          <w:tcPr>
            <w:tcW w:w="5070" w:type="dxa"/>
            <w:shd w:val="clear" w:color="auto" w:fill="auto"/>
            <w:vAlign w:val="center"/>
          </w:tcPr>
          <w:p>
            <w:pPr>
              <w:jc w:val="center"/>
              <w:rPr>
                <w:color w:val="auto"/>
              </w:rPr>
            </w:pPr>
            <w:r>
              <w:rPr>
                <w:rFonts w:hint="eastAsia"/>
                <w:color w:val="auto"/>
              </w:rPr>
              <w:t>对项目的需求理解及综合分析科学、合理、考虑全面</w:t>
            </w:r>
          </w:p>
        </w:tc>
        <w:tc>
          <w:tcPr>
            <w:tcW w:w="1060" w:type="dxa"/>
            <w:shd w:val="clear" w:color="auto" w:fill="auto"/>
            <w:vAlign w:val="center"/>
          </w:tcPr>
          <w:p>
            <w:pPr>
              <w:jc w:val="center"/>
              <w:rPr>
                <w:color w:val="auto"/>
              </w:rPr>
            </w:pPr>
            <w:r>
              <w:rPr>
                <w:rFonts w:hint="eastAsia"/>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color w:val="auto"/>
              </w:rPr>
            </w:pPr>
            <w:r>
              <w:rPr>
                <w:rFonts w:hint="eastAsia"/>
                <w:color w:val="auto"/>
              </w:rPr>
              <w:t>基本熟悉本项目需求</w:t>
            </w:r>
          </w:p>
        </w:tc>
        <w:tc>
          <w:tcPr>
            <w:tcW w:w="1060" w:type="dxa"/>
            <w:shd w:val="clear" w:color="auto" w:fill="auto"/>
            <w:vAlign w:val="center"/>
          </w:tcPr>
          <w:p>
            <w:pPr>
              <w:jc w:val="center"/>
              <w:rPr>
                <w:color w:val="auto"/>
              </w:rPr>
            </w:pPr>
            <w:r>
              <w:rPr>
                <w:rFonts w:hint="eastAsia"/>
                <w:color w:val="auto"/>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color w:val="auto"/>
              </w:rPr>
            </w:pPr>
            <w:r>
              <w:rPr>
                <w:rFonts w:hint="eastAsia"/>
                <w:color w:val="auto"/>
              </w:rPr>
              <w:t>对本项目理解及需求分析不够全面</w:t>
            </w:r>
          </w:p>
        </w:tc>
        <w:tc>
          <w:tcPr>
            <w:tcW w:w="1060" w:type="dxa"/>
            <w:shd w:val="clear" w:color="auto" w:fill="auto"/>
            <w:vAlign w:val="center"/>
          </w:tcPr>
          <w:p>
            <w:pPr>
              <w:jc w:val="center"/>
              <w:rPr>
                <w:color w:val="auto"/>
              </w:rPr>
            </w:pPr>
            <w:r>
              <w:rPr>
                <w:rFonts w:hint="eastAsia"/>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538" w:type="dxa"/>
            <w:vMerge w:val="continue"/>
            <w:shd w:val="clear" w:color="auto" w:fill="auto"/>
            <w:vAlign w:val="center"/>
          </w:tcPr>
          <w:p>
            <w:pPr>
              <w:jc w:val="center"/>
              <w:rPr>
                <w:color w:val="auto"/>
              </w:rPr>
            </w:pPr>
          </w:p>
        </w:tc>
        <w:tc>
          <w:tcPr>
            <w:tcW w:w="1417" w:type="dxa"/>
            <w:vMerge w:val="continue"/>
            <w:shd w:val="clear" w:color="auto" w:fill="auto"/>
            <w:vAlign w:val="center"/>
          </w:tcPr>
          <w:p>
            <w:pPr>
              <w:jc w:val="center"/>
              <w:rPr>
                <w:color w:val="auto"/>
              </w:rPr>
            </w:pPr>
          </w:p>
        </w:tc>
        <w:tc>
          <w:tcPr>
            <w:tcW w:w="5070" w:type="dxa"/>
            <w:shd w:val="clear" w:color="auto" w:fill="auto"/>
            <w:vAlign w:val="center"/>
          </w:tcPr>
          <w:p>
            <w:pPr>
              <w:jc w:val="center"/>
              <w:rPr>
                <w:color w:val="auto"/>
              </w:rPr>
            </w:pPr>
            <w:r>
              <w:rPr>
                <w:rFonts w:hint="eastAsia"/>
                <w:color w:val="auto"/>
              </w:rPr>
              <w:t>不提供不得分</w:t>
            </w:r>
          </w:p>
        </w:tc>
        <w:tc>
          <w:tcPr>
            <w:tcW w:w="1060" w:type="dxa"/>
            <w:shd w:val="clear" w:color="auto" w:fill="auto"/>
            <w:vAlign w:val="center"/>
          </w:tcPr>
          <w:p>
            <w:pPr>
              <w:jc w:val="center"/>
              <w:rPr>
                <w:color w:val="auto"/>
              </w:rPr>
            </w:pPr>
            <w:r>
              <w:rPr>
                <w:rFonts w:hint="eastAsia"/>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38" w:type="dxa"/>
            <w:shd w:val="clear" w:color="auto" w:fill="auto"/>
            <w:vAlign w:val="center"/>
          </w:tcPr>
          <w:p>
            <w:pPr>
              <w:jc w:val="center"/>
              <w:rPr>
                <w:rFonts w:ascii="宋体" w:hAnsi="宋体" w:cs="宋体"/>
                <w:color w:val="auto"/>
              </w:rPr>
            </w:pPr>
            <w:r>
              <w:rPr>
                <w:rFonts w:hint="eastAsia" w:ascii="宋体" w:hAnsi="宋体" w:cs="宋体"/>
                <w:color w:val="auto"/>
              </w:rPr>
              <w:t>价格部分</w:t>
            </w:r>
          </w:p>
          <w:p>
            <w:pPr>
              <w:jc w:val="center"/>
              <w:rPr>
                <w:rFonts w:ascii="宋体" w:hAnsi="宋体" w:cs="宋体"/>
                <w:color w:val="auto"/>
              </w:rPr>
            </w:pPr>
            <w:r>
              <w:rPr>
                <w:rFonts w:hint="eastAsia" w:ascii="宋体" w:hAnsi="宋体" w:cs="宋体"/>
                <w:color w:val="auto"/>
              </w:rPr>
              <w:t>(15分)</w:t>
            </w:r>
          </w:p>
        </w:tc>
        <w:tc>
          <w:tcPr>
            <w:tcW w:w="6487" w:type="dxa"/>
            <w:gridSpan w:val="2"/>
            <w:shd w:val="clear" w:color="auto" w:fill="auto"/>
            <w:vAlign w:val="center"/>
          </w:tcPr>
          <w:p>
            <w:pPr>
              <w:jc w:val="left"/>
              <w:rPr>
                <w:rFonts w:ascii="宋体" w:hAnsi="宋体" w:cs="宋体"/>
                <w:color w:val="auto"/>
              </w:rPr>
            </w:pPr>
            <w:r>
              <w:rPr>
                <w:rFonts w:hint="eastAsia" w:ascii="宋体" w:hAnsi="宋体" w:cs="宋体"/>
                <w:color w:val="auto"/>
              </w:rPr>
              <w:t>采用低价优先法计算，即满足竞争性磋商文件要求且价格最低的报价为评标基准价，其价格分为满分。其他满足竞争性磋商文件要求的供应商的价格分统一按照下列公式计算：报价得分=(评标基准价／报价)×15</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025" w:type="dxa"/>
            <w:gridSpan w:val="3"/>
            <w:shd w:val="clear" w:color="auto" w:fill="auto"/>
            <w:vAlign w:val="center"/>
          </w:tcPr>
          <w:p>
            <w:pPr>
              <w:jc w:val="center"/>
              <w:rPr>
                <w:rFonts w:ascii="宋体" w:hAnsi="宋体" w:cs="宋体"/>
                <w:color w:val="auto"/>
              </w:rPr>
            </w:pPr>
            <w:r>
              <w:rPr>
                <w:rFonts w:hint="eastAsia" w:ascii="宋体" w:hAnsi="宋体" w:cs="宋体"/>
                <w:color w:val="auto"/>
              </w:rPr>
              <w:t>合   计</w:t>
            </w:r>
          </w:p>
        </w:tc>
        <w:tc>
          <w:tcPr>
            <w:tcW w:w="1060" w:type="dxa"/>
            <w:shd w:val="clear" w:color="auto" w:fill="auto"/>
            <w:vAlign w:val="center"/>
          </w:tcPr>
          <w:p>
            <w:pPr>
              <w:jc w:val="center"/>
              <w:rPr>
                <w:rFonts w:ascii="宋体" w:hAnsi="宋体" w:cs="宋体"/>
                <w:color w:val="auto"/>
              </w:rPr>
            </w:pPr>
            <w:r>
              <w:rPr>
                <w:rFonts w:hint="eastAsia" w:ascii="宋体" w:hAnsi="宋体" w:cs="宋体"/>
                <w:color w:val="auto"/>
              </w:rPr>
              <w:t>100分</w:t>
            </w:r>
          </w:p>
        </w:tc>
      </w:tr>
    </w:tbl>
    <w:p>
      <w:pPr>
        <w:rPr>
          <w:color w:val="auto"/>
        </w:rPr>
      </w:pPr>
    </w:p>
    <w:p>
      <w:pPr>
        <w:rPr>
          <w:color w:val="auto"/>
        </w:rPr>
      </w:pPr>
    </w:p>
    <w:p>
      <w:pPr>
        <w:spacing w:line="360" w:lineRule="auto"/>
        <w:rPr>
          <w:rFonts w:ascii="宋体" w:hAnsi="宋体" w:cs="宋体"/>
          <w:color w:val="auto"/>
        </w:rPr>
      </w:pPr>
      <w:r>
        <w:rPr>
          <w:rFonts w:hint="eastAsia" w:ascii="宋体" w:hAnsi="宋体" w:cs="宋体"/>
          <w:color w:val="auto"/>
        </w:rPr>
        <w:t>说明：</w:t>
      </w:r>
    </w:p>
    <w:p>
      <w:pPr>
        <w:tabs>
          <w:tab w:val="left" w:pos="2295"/>
          <w:tab w:val="left" w:pos="6915"/>
        </w:tabs>
        <w:spacing w:line="360" w:lineRule="auto"/>
        <w:jc w:val="left"/>
        <w:rPr>
          <w:rFonts w:ascii="宋体" w:hAnsi="宋体"/>
          <w:color w:val="auto"/>
        </w:rPr>
      </w:pPr>
      <w:r>
        <w:rPr>
          <w:rFonts w:hint="eastAsia" w:ascii="宋体" w:hAnsi="宋体"/>
          <w:color w:val="auto"/>
        </w:rPr>
        <w:t>注：</w:t>
      </w:r>
    </w:p>
    <w:p>
      <w:pPr>
        <w:tabs>
          <w:tab w:val="left" w:pos="2295"/>
          <w:tab w:val="left" w:pos="6915"/>
        </w:tabs>
        <w:spacing w:line="360" w:lineRule="auto"/>
        <w:jc w:val="left"/>
        <w:rPr>
          <w:rFonts w:ascii="宋体" w:hAnsi="宋体"/>
          <w:color w:val="auto"/>
        </w:rPr>
      </w:pPr>
      <w:r>
        <w:rPr>
          <w:rFonts w:hint="eastAsia" w:ascii="宋体" w:hAnsi="宋体"/>
          <w:color w:val="auto"/>
        </w:rPr>
        <w:t>1.报价得分保留小数点后两位。</w:t>
      </w:r>
    </w:p>
    <w:p>
      <w:pPr>
        <w:tabs>
          <w:tab w:val="left" w:pos="2295"/>
          <w:tab w:val="left" w:pos="6915"/>
        </w:tabs>
        <w:spacing w:line="360" w:lineRule="auto"/>
        <w:jc w:val="left"/>
        <w:rPr>
          <w:rFonts w:ascii="宋体" w:hAnsi="宋体"/>
          <w:color w:val="auto"/>
        </w:rPr>
      </w:pPr>
      <w:r>
        <w:rPr>
          <w:rFonts w:hint="eastAsia" w:ascii="宋体" w:hAnsi="宋体"/>
          <w:color w:val="auto"/>
        </w:rPr>
        <w:t>2.按照市财政局《关于新型冠状病毒感染肺炎疫情防控期间加大政府采购支持中小微企业力度的通知》（京财采购〔2020〕195号）文件要求，“小型和微型企业产品”的价格按扣除10%后的价格参与评审。</w:t>
      </w:r>
    </w:p>
    <w:p>
      <w:pPr>
        <w:tabs>
          <w:tab w:val="left" w:pos="2295"/>
          <w:tab w:val="left" w:pos="6915"/>
        </w:tabs>
        <w:spacing w:line="360" w:lineRule="auto"/>
        <w:jc w:val="left"/>
        <w:rPr>
          <w:rFonts w:ascii="宋体" w:hAnsi="宋体"/>
          <w:color w:val="auto"/>
        </w:rPr>
      </w:pPr>
      <w:r>
        <w:rPr>
          <w:rFonts w:hint="eastAsia" w:ascii="宋体" w:hAnsi="宋体"/>
          <w:color w:val="auto"/>
        </w:rPr>
        <w:t>投标人应对满足要求的“小型和微型企业产品”进行分项报价，并提供对应的《中小企业声明函》（详见附件），否则不予进行价格扣除。</w:t>
      </w:r>
    </w:p>
    <w:p>
      <w:pPr>
        <w:tabs>
          <w:tab w:val="left" w:pos="2295"/>
          <w:tab w:val="left" w:pos="6915"/>
        </w:tabs>
        <w:spacing w:line="360" w:lineRule="auto"/>
        <w:jc w:val="left"/>
        <w:rPr>
          <w:rFonts w:ascii="宋体" w:hAnsi="宋体"/>
          <w:color w:val="auto"/>
        </w:rPr>
      </w:pPr>
      <w:r>
        <w:rPr>
          <w:rFonts w:hint="eastAsia" w:ascii="宋体" w:hAnsi="宋体"/>
          <w:color w:val="auto"/>
        </w:rPr>
        <w:t>中小企业划分标准参照《政府采购促进中小企业发展暂行办法》（财库[2011]181号）及《关于印发中小企业划型标准规定的通知》（工信部联企业[2011]300号）。</w:t>
      </w:r>
    </w:p>
    <w:p>
      <w:pPr>
        <w:tabs>
          <w:tab w:val="left" w:pos="2295"/>
          <w:tab w:val="left" w:pos="6915"/>
        </w:tabs>
        <w:spacing w:line="360" w:lineRule="auto"/>
        <w:jc w:val="left"/>
        <w:rPr>
          <w:rFonts w:ascii="宋体" w:hAnsi="宋体"/>
          <w:color w:val="auto"/>
        </w:rPr>
      </w:pPr>
      <w:r>
        <w:rPr>
          <w:rFonts w:hint="eastAsia" w:ascii="宋体" w:hAnsi="宋体"/>
          <w:color w:val="auto"/>
        </w:rPr>
        <w:t>3.监狱企业视同小型、微型企业,监狱企业应当提供由省级以上监狱管理局、戒毒管理局(含新疆生产建设兵团)出具的属于监狱企业的证明文件。北京市监狱企业应当提供市监狱管理局、市教育矫治局出具的监狱企业的证明文件。</w:t>
      </w:r>
    </w:p>
    <w:p>
      <w:pPr>
        <w:tabs>
          <w:tab w:val="left" w:pos="2295"/>
          <w:tab w:val="left" w:pos="6915"/>
        </w:tabs>
        <w:spacing w:line="360" w:lineRule="auto"/>
        <w:jc w:val="left"/>
        <w:rPr>
          <w:rFonts w:ascii="宋体" w:hAnsi="宋体"/>
          <w:color w:val="auto"/>
        </w:rPr>
      </w:pPr>
      <w:r>
        <w:rPr>
          <w:rFonts w:hint="eastAsia" w:ascii="宋体" w:hAnsi="宋体"/>
          <w:color w:val="auto"/>
        </w:rPr>
        <w:t>4.残疾人福利性单位视同小型、微型企业，符合条件的残疾人福利性单位应按照《财政部 民政部 中国残疾人联合会关于促进残疾人就业政府采购政策的通知》的规定提供《残疾人福利性单位声明函》（详见附件），并对声明的真实性负责。</w:t>
      </w:r>
    </w:p>
    <w:p>
      <w:pPr>
        <w:spacing w:line="360" w:lineRule="auto"/>
        <w:rPr>
          <w:rFonts w:asciiTheme="minorEastAsia" w:hAnsiTheme="minorEastAsia" w:eastAsiaTheme="minorEastAsia"/>
          <w:b/>
          <w:color w:val="auto"/>
          <w:sz w:val="24"/>
        </w:rPr>
      </w:pPr>
    </w:p>
    <w:p>
      <w:pPr>
        <w:pStyle w:val="117"/>
        <w:spacing w:line="360" w:lineRule="auto"/>
        <w:ind w:right="178" w:rightChars="85"/>
        <w:rPr>
          <w:b/>
          <w:bCs/>
          <w:color w:val="auto"/>
          <w:sz w:val="21"/>
          <w:lang w:val="zh-CN"/>
        </w:rPr>
      </w:pPr>
    </w:p>
    <w:p>
      <w:pPr>
        <w:rPr>
          <w:color w:val="auto"/>
        </w:rPr>
      </w:pPr>
    </w:p>
    <w:sectPr>
      <w:headerReference r:id="rId8"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imesNewRomanPSMT">
    <w:altName w:val="等线"/>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DSUHOM+Î¢ÈíÑÅºÚ">
    <w:altName w:val="Segoe Print"/>
    <w:panose1 w:val="00000000000000000000"/>
    <w:charset w:val="01"/>
    <w:family w:val="swiss"/>
    <w:pitch w:val="default"/>
    <w:sig w:usb0="00000000" w:usb1="00000000" w:usb2="01010101" w:usb3="01010101" w:csb0="01010101" w:csb1="01010101"/>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D6EHcCvwEAAGYDAAAOAAAAAAAAAAEAIAAAACIBAABkcnMvZTJvRG9jLnhtbFBL&#10;BQYAAAAABgAGAFkBAABTBQAAAAA=&#10;">
              <v:fill on="f" focussize="0,0"/>
              <v:stroke on="f" weight="1.2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oaYJL0wAAAAUBAAAPAAAAAAAAAAEAIAAAACIAAABkcnMvZG93bnJldi54bWxQSwEC&#10;FAAUAAAACACHTuJA85o8Z8ABAABmAwAADgAAAAAAAAABACAAAAAiAQAAZHJzL2Uyb0RvYy54bWxQ&#10;SwUGAAAAAAYABgBZAQAAVA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6"/>
        <w:adjustRightInd w:val="0"/>
        <w:ind w:firstLine="420" w:firstLineChars="200"/>
        <w:rPr>
          <w:rFonts w:ascii="方正仿宋_GBK" w:eastAsia="方正仿宋_GBK"/>
          <w:sz w:val="21"/>
          <w:szCs w:val="21"/>
        </w:rPr>
      </w:pPr>
      <w:r>
        <w:rPr>
          <w:rFonts w:hint="eastAsia" w:ascii="方正仿宋_GBK" w:eastAsia="方正仿宋_GBK"/>
          <w:sz w:val="21"/>
          <w:szCs w:val="21"/>
          <w:vertAlign w:val="superscript"/>
        </w:rPr>
        <w:footnoteRef/>
      </w:r>
      <w:r>
        <w:rPr>
          <w:rFonts w:hint="eastAsia" w:ascii="方正仿宋_GBK" w:eastAsia="方正仿宋_GBK"/>
          <w:sz w:val="21"/>
          <w:szCs w:val="21"/>
        </w:rPr>
        <w:t xml:space="preserve"> 此处的签订日期应与签署页中的最迟签订日期保持一致。</w:t>
      </w:r>
    </w:p>
  </w:footnote>
  <w:footnote w:id="1">
    <w:p>
      <w:pPr>
        <w:pStyle w:val="26"/>
        <w:adjustRightInd w:val="0"/>
        <w:ind w:firstLine="420" w:firstLineChars="200"/>
        <w:rPr>
          <w:rFonts w:ascii="方正仿宋_GBK" w:eastAsia="方正仿宋_GBK"/>
          <w:sz w:val="21"/>
          <w:szCs w:val="21"/>
        </w:rPr>
      </w:pPr>
      <w:r>
        <w:rPr>
          <w:rStyle w:val="49"/>
          <w:rFonts w:hint="eastAsia" w:ascii="方正仿宋_GBK" w:eastAsia="方正仿宋_GBK"/>
          <w:sz w:val="21"/>
          <w:szCs w:val="21"/>
        </w:rPr>
        <w:footnoteRef/>
      </w:r>
      <w:r>
        <w:rPr>
          <w:rFonts w:hint="eastAsia" w:ascii="方正仿宋_GBK" w:eastAsia="方正仿宋_GBK"/>
          <w:sz w:val="21"/>
          <w:szCs w:val="21"/>
        </w:rPr>
        <w:t xml:space="preserve"> 签订涉外合同时需约定合同的适用法律，应以约定我国法律为宜。</w:t>
      </w:r>
    </w:p>
  </w:footnote>
  <w:footnote w:id="2">
    <w:p>
      <w:pPr>
        <w:pStyle w:val="26"/>
        <w:adjustRightInd w:val="0"/>
        <w:ind w:firstLine="420"/>
        <w:rPr>
          <w:rFonts w:ascii="方正仿宋_GBK" w:eastAsia="方正仿宋_GBK"/>
          <w:kern w:val="0"/>
          <w:sz w:val="21"/>
          <w:szCs w:val="21"/>
        </w:rPr>
      </w:pPr>
      <w:r>
        <w:rPr>
          <w:rFonts w:hint="eastAsia" w:ascii="方正仿宋_GBK" w:eastAsia="方正仿宋_GBK"/>
          <w:kern w:val="0"/>
          <w:sz w:val="21"/>
          <w:szCs w:val="21"/>
          <w:vertAlign w:val="superscript"/>
        </w:rPr>
        <w:footnoteRef/>
      </w:r>
      <w:r>
        <w:rPr>
          <w:rFonts w:hint="eastAsia" w:ascii="方正仿宋_GBK" w:eastAsia="方正仿宋_GBK"/>
          <w:kern w:val="0"/>
          <w:sz w:val="21"/>
          <w:szCs w:val="21"/>
          <w:vertAlign w:val="superscript"/>
        </w:rPr>
        <w:t xml:space="preserve"> </w:t>
      </w:r>
      <w:r>
        <w:rPr>
          <w:rFonts w:hint="eastAsia" w:ascii="方正仿宋_GBK" w:eastAsia="方正仿宋_GBK"/>
          <w:kern w:val="0"/>
          <w:sz w:val="21"/>
          <w:szCs w:val="21"/>
        </w:rPr>
        <w:t>建议尽量选择甲方所在地法院或仲裁委员会作为争议解决机构。如选择仲裁作为争议解决方式时，应核实所填写的仲裁委员会是否存在及其名称是否准确。目前并非每一城市均设有仲裁委员会。系统内单位之间签订本合同，只选择10.1条款中的协商解决作为争议解决方式。</w:t>
      </w:r>
    </w:p>
  </w:footnote>
  <w:footnote w:id="3">
    <w:p>
      <w:pPr>
        <w:pStyle w:val="26"/>
        <w:ind w:firstLine="420"/>
        <w:rPr>
          <w:rFonts w:ascii="方正仿宋_GBK" w:eastAsia="方正仿宋_GBK"/>
          <w:sz w:val="21"/>
          <w:szCs w:val="21"/>
        </w:rPr>
      </w:pPr>
      <w:r>
        <w:rPr>
          <w:rStyle w:val="49"/>
          <w:rFonts w:hint="eastAsia" w:ascii="方正仿宋_GBK" w:eastAsia="方正仿宋_GBK"/>
          <w:sz w:val="21"/>
          <w:szCs w:val="21"/>
        </w:rPr>
        <w:footnoteRef/>
      </w:r>
      <w:r>
        <w:rPr>
          <w:rFonts w:hint="eastAsia" w:ascii="方正仿宋_GBK" w:eastAsia="方正仿宋_GBK"/>
          <w:sz w:val="21"/>
          <w:szCs w:val="21"/>
        </w:rPr>
        <w:t xml:space="preserve"> </w:t>
      </w:r>
      <w:r>
        <w:rPr>
          <w:rFonts w:hint="eastAsia" w:ascii="方正仿宋_GBK" w:hAnsi="华文仿宋" w:eastAsia="方正仿宋_GBK"/>
          <w:sz w:val="21"/>
          <w:szCs w:val="21"/>
        </w:rPr>
        <w:t>如选择其他仲裁规则，可以在特别约定条款中明确。</w:t>
      </w:r>
    </w:p>
  </w:footnote>
  <w:footnote w:id="4">
    <w:p>
      <w:pPr>
        <w:pStyle w:val="26"/>
        <w:adjustRightInd w:val="0"/>
        <w:ind w:firstLine="420" w:firstLineChars="200"/>
        <w:rPr>
          <w:rFonts w:ascii="方正仿宋_GBK" w:eastAsia="方正仿宋_GBK"/>
          <w:sz w:val="21"/>
          <w:szCs w:val="21"/>
        </w:rPr>
      </w:pPr>
      <w:r>
        <w:rPr>
          <w:rStyle w:val="49"/>
          <w:rFonts w:hint="eastAsia" w:ascii="方正仿宋_GBK" w:eastAsia="方正仿宋_GBK"/>
          <w:sz w:val="21"/>
          <w:szCs w:val="21"/>
        </w:rPr>
        <w:footnoteRef/>
      </w:r>
      <w:r>
        <w:rPr>
          <w:rFonts w:hint="eastAsia" w:ascii="方正仿宋_GBK" w:eastAsia="方正仿宋_GBK"/>
          <w:sz w:val="21"/>
          <w:szCs w:val="21"/>
        </w:rPr>
        <w:t xml:space="preserve"> 如本合同当事人为非法人单位，则由其负责人或负责人的授权代表签字。如本合同由授权代表签字时，需出具合法、有效的法定代表人或负责人的授权委托书。</w:t>
      </w:r>
    </w:p>
  </w:footnote>
  <w:footnote w:id="5">
    <w:p>
      <w:pPr>
        <w:pStyle w:val="26"/>
        <w:adjustRightInd w:val="0"/>
        <w:ind w:firstLine="420"/>
        <w:rPr>
          <w:rFonts w:ascii="方正仿宋_GBK" w:eastAsia="方正仿宋_GBK"/>
          <w:kern w:val="0"/>
          <w:sz w:val="21"/>
          <w:szCs w:val="21"/>
        </w:rPr>
      </w:pPr>
      <w:r>
        <w:rPr>
          <w:rFonts w:hint="eastAsia" w:ascii="方正仿宋_GBK" w:eastAsia="方正仿宋_GBK"/>
          <w:kern w:val="0"/>
          <w:sz w:val="21"/>
          <w:szCs w:val="21"/>
          <w:vertAlign w:val="superscript"/>
        </w:rPr>
        <w:footnoteRef/>
      </w:r>
      <w:r>
        <w:rPr>
          <w:rFonts w:hint="eastAsia" w:ascii="方正仿宋_GBK" w:eastAsia="方正仿宋_GBK"/>
          <w:kern w:val="0"/>
          <w:sz w:val="21"/>
          <w:szCs w:val="21"/>
        </w:rPr>
        <w:t>对本统一合同文本的任何修改或补充，均应在本条（第14条  特别约定）中约定。如需修改时，应明确被修改的具体条款，示例：“将第9.3款修改为：……”；如需补充时，应订立补充条款，示例：“增加以下条款：……”。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A019D"/>
    <w:multiLevelType w:val="singleLevel"/>
    <w:tmpl w:val="DFBA019D"/>
    <w:lvl w:ilvl="0" w:tentative="0">
      <w:start w:val="1"/>
      <w:numFmt w:val="decimal"/>
      <w:suff w:val="space"/>
      <w:lvlText w:val="%1."/>
      <w:lvlJc w:val="left"/>
    </w:lvl>
  </w:abstractNum>
  <w:abstractNum w:abstractNumId="1">
    <w:nsid w:val="EADCCA09"/>
    <w:multiLevelType w:val="singleLevel"/>
    <w:tmpl w:val="EADCCA09"/>
    <w:lvl w:ilvl="0" w:tentative="0">
      <w:start w:val="3"/>
      <w:numFmt w:val="chineseCounting"/>
      <w:suff w:val="nothing"/>
      <w:lvlText w:val="%1、"/>
      <w:lvlJc w:val="left"/>
      <w:rPr>
        <w:rFonts w:hint="eastAsia"/>
      </w:rPr>
    </w:lvl>
  </w:abstractNum>
  <w:abstractNum w:abstractNumId="2">
    <w:nsid w:val="00000006"/>
    <w:multiLevelType w:val="multilevel"/>
    <w:tmpl w:val="00000006"/>
    <w:lvl w:ilvl="0" w:tentative="0">
      <w:start w:val="1"/>
      <w:numFmt w:val="decimal"/>
      <w:pStyle w:val="86"/>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B7334E"/>
    <w:multiLevelType w:val="multilevel"/>
    <w:tmpl w:val="1DB7334E"/>
    <w:lvl w:ilvl="0" w:tentative="0">
      <w:start w:val="1"/>
      <w:numFmt w:val="decimal"/>
      <w:lvlText w:val="%1."/>
      <w:lvlJc w:val="left"/>
      <w:pPr>
        <w:tabs>
          <w:tab w:val="left" w:pos="1550"/>
        </w:tabs>
        <w:ind w:left="1550" w:hanging="99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1DE179BA"/>
    <w:multiLevelType w:val="multilevel"/>
    <w:tmpl w:val="1DE179BA"/>
    <w:lvl w:ilvl="0" w:tentative="0">
      <w:start w:val="1"/>
      <w:numFmt w:val="decimal"/>
      <w:lvlText w:val="%1"/>
      <w:lvlJc w:val="left"/>
      <w:pPr>
        <w:ind w:left="840" w:hanging="840"/>
      </w:pPr>
      <w:rPr>
        <w:rFonts w:hint="default"/>
      </w:rPr>
    </w:lvl>
    <w:lvl w:ilvl="1" w:tentative="0">
      <w:start w:val="1"/>
      <w:numFmt w:val="decimal"/>
      <w:lvlText w:val="%1.%2"/>
      <w:lvlJc w:val="left"/>
      <w:pPr>
        <w:ind w:left="1260" w:hanging="840"/>
      </w:pPr>
      <w:rPr>
        <w:rFonts w:hint="default"/>
      </w:rPr>
    </w:lvl>
    <w:lvl w:ilvl="2" w:tentative="0">
      <w:start w:val="1"/>
      <w:numFmt w:val="decimal"/>
      <w:lvlText w:val="%1.%2.%3"/>
      <w:lvlJc w:val="left"/>
      <w:pPr>
        <w:ind w:left="1680" w:hanging="84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55775B4"/>
    <w:multiLevelType w:val="singleLevel"/>
    <w:tmpl w:val="455775B4"/>
    <w:lvl w:ilvl="0" w:tentative="0">
      <w:start w:val="4"/>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84"/>
    <w:rsid w:val="000073B9"/>
    <w:rsid w:val="00020F48"/>
    <w:rsid w:val="00024CF5"/>
    <w:rsid w:val="00055B29"/>
    <w:rsid w:val="00065869"/>
    <w:rsid w:val="000808E5"/>
    <w:rsid w:val="000B2EA4"/>
    <w:rsid w:val="000C63CD"/>
    <w:rsid w:val="000D1500"/>
    <w:rsid w:val="000D2B4D"/>
    <w:rsid w:val="00100CC9"/>
    <w:rsid w:val="00102162"/>
    <w:rsid w:val="00106A28"/>
    <w:rsid w:val="00143467"/>
    <w:rsid w:val="00151E21"/>
    <w:rsid w:val="00155BFC"/>
    <w:rsid w:val="001929C6"/>
    <w:rsid w:val="001D797C"/>
    <w:rsid w:val="001F0E60"/>
    <w:rsid w:val="00213004"/>
    <w:rsid w:val="00227F17"/>
    <w:rsid w:val="002325EC"/>
    <w:rsid w:val="0023454F"/>
    <w:rsid w:val="00246D98"/>
    <w:rsid w:val="00254C55"/>
    <w:rsid w:val="00292C03"/>
    <w:rsid w:val="002D14A6"/>
    <w:rsid w:val="00354F8B"/>
    <w:rsid w:val="0036059A"/>
    <w:rsid w:val="00394781"/>
    <w:rsid w:val="003C7BF3"/>
    <w:rsid w:val="00414666"/>
    <w:rsid w:val="0047253A"/>
    <w:rsid w:val="004878AD"/>
    <w:rsid w:val="0049602D"/>
    <w:rsid w:val="004A0D25"/>
    <w:rsid w:val="004A7E4C"/>
    <w:rsid w:val="004E24BF"/>
    <w:rsid w:val="004F4BBA"/>
    <w:rsid w:val="004F72E8"/>
    <w:rsid w:val="005125B9"/>
    <w:rsid w:val="005344FA"/>
    <w:rsid w:val="005364A3"/>
    <w:rsid w:val="0057214B"/>
    <w:rsid w:val="005D2148"/>
    <w:rsid w:val="00660C5F"/>
    <w:rsid w:val="00666F11"/>
    <w:rsid w:val="0067230F"/>
    <w:rsid w:val="006F1B5A"/>
    <w:rsid w:val="006F7F18"/>
    <w:rsid w:val="00724C37"/>
    <w:rsid w:val="007343EF"/>
    <w:rsid w:val="007460D7"/>
    <w:rsid w:val="00766EE0"/>
    <w:rsid w:val="00785C61"/>
    <w:rsid w:val="007C2962"/>
    <w:rsid w:val="007E5CF3"/>
    <w:rsid w:val="007F062C"/>
    <w:rsid w:val="007F51A6"/>
    <w:rsid w:val="00805279"/>
    <w:rsid w:val="008334C1"/>
    <w:rsid w:val="00833B1C"/>
    <w:rsid w:val="00865556"/>
    <w:rsid w:val="00873422"/>
    <w:rsid w:val="00874D30"/>
    <w:rsid w:val="00896F5E"/>
    <w:rsid w:val="008B1BCD"/>
    <w:rsid w:val="008C0014"/>
    <w:rsid w:val="008C1184"/>
    <w:rsid w:val="009005A5"/>
    <w:rsid w:val="00915777"/>
    <w:rsid w:val="0096184E"/>
    <w:rsid w:val="00975FEC"/>
    <w:rsid w:val="00980812"/>
    <w:rsid w:val="00997AD8"/>
    <w:rsid w:val="009E10B2"/>
    <w:rsid w:val="009F1ECD"/>
    <w:rsid w:val="00A559E2"/>
    <w:rsid w:val="00A9487D"/>
    <w:rsid w:val="00AD60E1"/>
    <w:rsid w:val="00AF33C3"/>
    <w:rsid w:val="00B16D28"/>
    <w:rsid w:val="00B1763E"/>
    <w:rsid w:val="00B30ACC"/>
    <w:rsid w:val="00B7768D"/>
    <w:rsid w:val="00BD2913"/>
    <w:rsid w:val="00BF49D4"/>
    <w:rsid w:val="00C05300"/>
    <w:rsid w:val="00C578DE"/>
    <w:rsid w:val="00D21E11"/>
    <w:rsid w:val="00DC6690"/>
    <w:rsid w:val="00E17352"/>
    <w:rsid w:val="00E251B7"/>
    <w:rsid w:val="00E40A1A"/>
    <w:rsid w:val="00E642C1"/>
    <w:rsid w:val="00E8650D"/>
    <w:rsid w:val="00E964E4"/>
    <w:rsid w:val="00EB17ED"/>
    <w:rsid w:val="00EB34CB"/>
    <w:rsid w:val="00EB3888"/>
    <w:rsid w:val="00EF583C"/>
    <w:rsid w:val="00F3570B"/>
    <w:rsid w:val="00F46689"/>
    <w:rsid w:val="00FC3C1D"/>
    <w:rsid w:val="00FC50F1"/>
    <w:rsid w:val="00FC60C9"/>
    <w:rsid w:val="00FD2D87"/>
    <w:rsid w:val="03C532F8"/>
    <w:rsid w:val="03F92B07"/>
    <w:rsid w:val="066E0BC2"/>
    <w:rsid w:val="08506DFC"/>
    <w:rsid w:val="09B343FF"/>
    <w:rsid w:val="09DA5507"/>
    <w:rsid w:val="0A0461ED"/>
    <w:rsid w:val="0CBF3A1B"/>
    <w:rsid w:val="0CD27D40"/>
    <w:rsid w:val="12AC0A51"/>
    <w:rsid w:val="17BB794A"/>
    <w:rsid w:val="18275057"/>
    <w:rsid w:val="1AE50EB4"/>
    <w:rsid w:val="1BC240AB"/>
    <w:rsid w:val="1C2B51DA"/>
    <w:rsid w:val="1C6B700F"/>
    <w:rsid w:val="1D8E4685"/>
    <w:rsid w:val="2097413D"/>
    <w:rsid w:val="22F25D09"/>
    <w:rsid w:val="23424D55"/>
    <w:rsid w:val="273B1F17"/>
    <w:rsid w:val="2D2C7FCB"/>
    <w:rsid w:val="2DD44E84"/>
    <w:rsid w:val="33183947"/>
    <w:rsid w:val="345528A9"/>
    <w:rsid w:val="37866A66"/>
    <w:rsid w:val="38AC03AF"/>
    <w:rsid w:val="38E467D9"/>
    <w:rsid w:val="39BB2C5B"/>
    <w:rsid w:val="39BE49B1"/>
    <w:rsid w:val="3C937051"/>
    <w:rsid w:val="3CCA24CC"/>
    <w:rsid w:val="3D1E26BC"/>
    <w:rsid w:val="3DD20113"/>
    <w:rsid w:val="3F2A1A1E"/>
    <w:rsid w:val="3F9D15D1"/>
    <w:rsid w:val="43115716"/>
    <w:rsid w:val="45230858"/>
    <w:rsid w:val="45A143E2"/>
    <w:rsid w:val="45B35DAA"/>
    <w:rsid w:val="45E05F4A"/>
    <w:rsid w:val="47A0134E"/>
    <w:rsid w:val="48477982"/>
    <w:rsid w:val="4CCC5482"/>
    <w:rsid w:val="4DD7380D"/>
    <w:rsid w:val="4F1D702D"/>
    <w:rsid w:val="5145281E"/>
    <w:rsid w:val="51BF0B32"/>
    <w:rsid w:val="54373A58"/>
    <w:rsid w:val="55DB5025"/>
    <w:rsid w:val="580D686C"/>
    <w:rsid w:val="584073E4"/>
    <w:rsid w:val="59814704"/>
    <w:rsid w:val="5D306F2B"/>
    <w:rsid w:val="5D3C1B77"/>
    <w:rsid w:val="5DC603FC"/>
    <w:rsid w:val="61DC6C67"/>
    <w:rsid w:val="62305A83"/>
    <w:rsid w:val="631206CB"/>
    <w:rsid w:val="637748AC"/>
    <w:rsid w:val="63A741D5"/>
    <w:rsid w:val="63B33EFD"/>
    <w:rsid w:val="63E35878"/>
    <w:rsid w:val="64E34E0A"/>
    <w:rsid w:val="670F0C60"/>
    <w:rsid w:val="68047CFD"/>
    <w:rsid w:val="681D46E9"/>
    <w:rsid w:val="6ABE5E4C"/>
    <w:rsid w:val="6CFC194B"/>
    <w:rsid w:val="6F301726"/>
    <w:rsid w:val="6FEB2650"/>
    <w:rsid w:val="70E23AD5"/>
    <w:rsid w:val="71683AEB"/>
    <w:rsid w:val="729A195B"/>
    <w:rsid w:val="73533441"/>
    <w:rsid w:val="75931F1A"/>
    <w:rsid w:val="78087CF2"/>
    <w:rsid w:val="7905216D"/>
    <w:rsid w:val="7AE90E2B"/>
    <w:rsid w:val="7B833D31"/>
    <w:rsid w:val="7C073996"/>
    <w:rsid w:val="7CCE4480"/>
    <w:rsid w:val="7EF0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uiPriority w:val="0"/>
    <w:pPr>
      <w:keepNext/>
      <w:keepLines/>
      <w:spacing w:before="340" w:after="330" w:line="576" w:lineRule="auto"/>
      <w:outlineLvl w:val="0"/>
    </w:pPr>
    <w:rPr>
      <w:b/>
      <w:bCs/>
      <w:kern w:val="44"/>
      <w:sz w:val="32"/>
      <w:szCs w:val="32"/>
    </w:rPr>
  </w:style>
  <w:style w:type="paragraph" w:styleId="3">
    <w:name w:val="heading 2"/>
    <w:basedOn w:val="1"/>
    <w:next w:val="1"/>
    <w:link w:val="156"/>
    <w:qFormat/>
    <w:uiPriority w:val="0"/>
    <w:pPr>
      <w:keepNext/>
      <w:keepLines/>
      <w:spacing w:before="260" w:after="260" w:line="500" w:lineRule="exact"/>
      <w:outlineLvl w:val="1"/>
    </w:pPr>
    <w:rPr>
      <w:rFonts w:ascii="Arial" w:hAnsi="Arial" w:eastAsia="黑体" w:cs="Arial"/>
      <w:b/>
      <w:bCs/>
      <w:sz w:val="28"/>
      <w:szCs w:val="28"/>
    </w:rPr>
  </w:style>
  <w:style w:type="paragraph" w:styleId="4">
    <w:name w:val="heading 3"/>
    <w:basedOn w:val="1"/>
    <w:next w:val="1"/>
    <w:link w:val="54"/>
    <w:qFormat/>
    <w:uiPriority w:val="0"/>
    <w:pPr>
      <w:keepNext/>
      <w:keepLines/>
      <w:spacing w:before="260" w:after="260" w:line="413" w:lineRule="auto"/>
      <w:outlineLvl w:val="2"/>
    </w:pPr>
    <w:rPr>
      <w:b/>
      <w:bCs/>
      <w:sz w:val="32"/>
      <w:szCs w:val="32"/>
    </w:rPr>
  </w:style>
  <w:style w:type="paragraph" w:styleId="5">
    <w:name w:val="heading 4"/>
    <w:basedOn w:val="1"/>
    <w:next w:val="1"/>
    <w:link w:val="55"/>
    <w:qFormat/>
    <w:uiPriority w:val="0"/>
    <w:pPr>
      <w:keepNext/>
      <w:keepLines/>
      <w:spacing w:before="280" w:after="290" w:line="372" w:lineRule="auto"/>
      <w:outlineLvl w:val="3"/>
    </w:pPr>
    <w:rPr>
      <w:rFonts w:ascii="Cambria" w:hAnsi="Cambria"/>
      <w:b/>
      <w:bCs/>
      <w:sz w:val="28"/>
      <w:szCs w:val="28"/>
    </w:rPr>
  </w:style>
  <w:style w:type="paragraph" w:styleId="6">
    <w:name w:val="heading 5"/>
    <w:basedOn w:val="1"/>
    <w:next w:val="7"/>
    <w:link w:val="56"/>
    <w:qFormat/>
    <w:uiPriority w:val="0"/>
    <w:pPr>
      <w:keepNext/>
      <w:keepLines/>
      <w:spacing w:before="280" w:after="290" w:line="372" w:lineRule="auto"/>
      <w:outlineLvl w:val="4"/>
    </w:pPr>
    <w:rPr>
      <w:b/>
      <w:bCs/>
      <w:sz w:val="28"/>
      <w:szCs w:val="28"/>
    </w:rPr>
  </w:style>
  <w:style w:type="paragraph" w:styleId="8">
    <w:name w:val="heading 6"/>
    <w:basedOn w:val="1"/>
    <w:next w:val="7"/>
    <w:link w:val="57"/>
    <w:qFormat/>
    <w:uiPriority w:val="0"/>
    <w:pPr>
      <w:keepNext/>
      <w:keepLines/>
      <w:spacing w:before="240" w:after="64" w:line="317" w:lineRule="auto"/>
      <w:outlineLvl w:val="5"/>
    </w:pPr>
    <w:rPr>
      <w:rFonts w:ascii="Cambria" w:hAnsi="Cambria"/>
      <w:b/>
      <w:bCs/>
      <w:sz w:val="24"/>
      <w:szCs w:val="24"/>
    </w:rPr>
  </w:style>
  <w:style w:type="paragraph" w:styleId="9">
    <w:name w:val="heading 7"/>
    <w:basedOn w:val="1"/>
    <w:next w:val="7"/>
    <w:link w:val="58"/>
    <w:qFormat/>
    <w:uiPriority w:val="0"/>
    <w:pPr>
      <w:keepNext/>
      <w:keepLines/>
      <w:spacing w:before="240" w:after="64" w:line="317" w:lineRule="auto"/>
      <w:outlineLvl w:val="6"/>
    </w:pPr>
    <w:rPr>
      <w:b/>
      <w:bCs/>
      <w:sz w:val="24"/>
      <w:szCs w:val="24"/>
    </w:rPr>
  </w:style>
  <w:style w:type="paragraph" w:styleId="10">
    <w:name w:val="heading 8"/>
    <w:basedOn w:val="1"/>
    <w:next w:val="7"/>
    <w:link w:val="59"/>
    <w:qFormat/>
    <w:uiPriority w:val="0"/>
    <w:pPr>
      <w:keepNext/>
      <w:keepLines/>
      <w:spacing w:before="240" w:after="64" w:line="317" w:lineRule="auto"/>
      <w:outlineLvl w:val="7"/>
    </w:pPr>
    <w:rPr>
      <w:rFonts w:ascii="Cambria" w:hAnsi="Cambria"/>
      <w:sz w:val="24"/>
      <w:szCs w:val="24"/>
    </w:rPr>
  </w:style>
  <w:style w:type="paragraph" w:styleId="11">
    <w:name w:val="heading 9"/>
    <w:basedOn w:val="1"/>
    <w:next w:val="7"/>
    <w:link w:val="60"/>
    <w:qFormat/>
    <w:uiPriority w:val="0"/>
    <w:pPr>
      <w:keepNext/>
      <w:keepLines/>
      <w:spacing w:before="240" w:after="64" w:line="317" w:lineRule="auto"/>
      <w:outlineLvl w:val="8"/>
    </w:pPr>
    <w:rPr>
      <w:rFonts w:ascii="Cambria" w:hAnsi="Cambria"/>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7">
    <w:name w:val="Normal Indent"/>
    <w:basedOn w:val="1"/>
    <w:link w:val="61"/>
    <w:qFormat/>
    <w:uiPriority w:val="0"/>
    <w:pPr>
      <w:ind w:firstLine="420"/>
    </w:pPr>
  </w:style>
  <w:style w:type="paragraph" w:styleId="12">
    <w:name w:val="annotation text"/>
    <w:basedOn w:val="1"/>
    <w:link w:val="69"/>
    <w:unhideWhenUsed/>
    <w:qFormat/>
    <w:uiPriority w:val="0"/>
    <w:pPr>
      <w:jc w:val="left"/>
    </w:pPr>
  </w:style>
  <w:style w:type="paragraph" w:styleId="13">
    <w:name w:val="Body Text 3"/>
    <w:basedOn w:val="1"/>
    <w:link w:val="110"/>
    <w:qFormat/>
    <w:uiPriority w:val="0"/>
    <w:pPr>
      <w:spacing w:line="500" w:lineRule="exact"/>
    </w:pPr>
    <w:rPr>
      <w:rFonts w:asciiTheme="minorHAnsi" w:hAnsiTheme="minorHAnsi" w:eastAsiaTheme="minorEastAsia" w:cstheme="minorBidi"/>
      <w:sz w:val="16"/>
      <w:szCs w:val="16"/>
    </w:rPr>
  </w:style>
  <w:style w:type="paragraph" w:styleId="14">
    <w:name w:val="Body Text"/>
    <w:basedOn w:val="1"/>
    <w:link w:val="78"/>
    <w:qFormat/>
    <w:uiPriority w:val="0"/>
    <w:pPr>
      <w:spacing w:after="120"/>
    </w:pPr>
    <w:rPr>
      <w:rFonts w:asciiTheme="minorHAnsi" w:hAnsiTheme="minorHAnsi" w:cstheme="minorBidi"/>
    </w:rPr>
  </w:style>
  <w:style w:type="paragraph" w:styleId="15">
    <w:name w:val="Body Text Indent"/>
    <w:basedOn w:val="1"/>
    <w:link w:val="94"/>
    <w:qFormat/>
    <w:uiPriority w:val="0"/>
    <w:pPr>
      <w:ind w:firstLine="630"/>
    </w:pPr>
    <w:rPr>
      <w:rFonts w:asciiTheme="minorHAnsi" w:hAnsiTheme="minorHAnsi" w:eastAsiaTheme="minorEastAsia" w:cstheme="minorBidi"/>
      <w:sz w:val="32"/>
      <w:szCs w:val="32"/>
    </w:rPr>
  </w:style>
  <w:style w:type="paragraph" w:styleId="16">
    <w:name w:val="List 2"/>
    <w:basedOn w:val="1"/>
    <w:qFormat/>
    <w:uiPriority w:val="0"/>
    <w:pPr>
      <w:adjustRightInd w:val="0"/>
      <w:spacing w:line="360" w:lineRule="atLeast"/>
      <w:ind w:left="100" w:leftChars="200" w:hanging="200" w:hangingChars="200"/>
      <w:jc w:val="left"/>
      <w:textAlignment w:val="baseline"/>
    </w:pPr>
    <w:rPr>
      <w:kern w:val="0"/>
      <w:sz w:val="24"/>
      <w:szCs w:val="20"/>
    </w:rPr>
  </w:style>
  <w:style w:type="paragraph" w:styleId="17">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18">
    <w:name w:val="toc 3"/>
    <w:basedOn w:val="1"/>
    <w:next w:val="1"/>
    <w:semiHidden/>
    <w:unhideWhenUsed/>
    <w:uiPriority w:val="39"/>
    <w:pPr>
      <w:ind w:left="840" w:leftChars="400"/>
    </w:pPr>
  </w:style>
  <w:style w:type="paragraph" w:styleId="19">
    <w:name w:val="Plain Text"/>
    <w:basedOn w:val="1"/>
    <w:link w:val="158"/>
    <w:qFormat/>
    <w:uiPriority w:val="0"/>
    <w:rPr>
      <w:rFonts w:ascii="宋体" w:hAnsi="Courier New" w:eastAsiaTheme="minorEastAsia" w:cstheme="minorBidi"/>
    </w:rPr>
  </w:style>
  <w:style w:type="paragraph" w:styleId="20">
    <w:name w:val="Date"/>
    <w:basedOn w:val="1"/>
    <w:next w:val="1"/>
    <w:link w:val="88"/>
    <w:qFormat/>
    <w:uiPriority w:val="0"/>
    <w:rPr>
      <w:rFonts w:eastAsia="黑体" w:asciiTheme="minorHAnsi" w:hAnsiTheme="minorHAnsi" w:cstheme="minorBidi"/>
      <w:sz w:val="36"/>
      <w:szCs w:val="36"/>
    </w:rPr>
  </w:style>
  <w:style w:type="paragraph" w:styleId="21">
    <w:name w:val="Body Text Indent 2"/>
    <w:basedOn w:val="1"/>
    <w:link w:val="98"/>
    <w:qFormat/>
    <w:uiPriority w:val="0"/>
    <w:pPr>
      <w:ind w:firstLine="630"/>
    </w:pPr>
    <w:rPr>
      <w:rFonts w:asciiTheme="minorHAnsi" w:hAnsiTheme="minorHAnsi" w:eastAsiaTheme="minorEastAsia" w:cstheme="minorBidi"/>
    </w:rPr>
  </w:style>
  <w:style w:type="paragraph" w:styleId="22">
    <w:name w:val="Balloon Text"/>
    <w:basedOn w:val="1"/>
    <w:link w:val="96"/>
    <w:qFormat/>
    <w:uiPriority w:val="0"/>
    <w:rPr>
      <w:rFonts w:asciiTheme="minorHAnsi" w:hAnsiTheme="minorHAnsi" w:eastAsiaTheme="minorEastAsia" w:cstheme="minorBidi"/>
      <w:sz w:val="18"/>
      <w:szCs w:val="18"/>
    </w:rPr>
  </w:style>
  <w:style w:type="paragraph" w:styleId="23">
    <w:name w:val="footer"/>
    <w:basedOn w:val="1"/>
    <w:link w:val="51"/>
    <w:unhideWhenUsed/>
    <w:qFormat/>
    <w:uiPriority w:val="99"/>
    <w:pPr>
      <w:tabs>
        <w:tab w:val="center" w:pos="4153"/>
        <w:tab w:val="right" w:pos="8306"/>
      </w:tabs>
      <w:snapToGrid w:val="0"/>
      <w:jc w:val="left"/>
    </w:pPr>
    <w:rPr>
      <w:sz w:val="18"/>
      <w:szCs w:val="18"/>
    </w:rPr>
  </w:style>
  <w:style w:type="paragraph" w:styleId="24">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8398"/>
      </w:tabs>
      <w:spacing w:before="120" w:after="120"/>
      <w:ind w:firstLine="240" w:firstLineChars="100"/>
      <w:jc w:val="left"/>
    </w:pPr>
    <w:rPr>
      <w:rFonts w:ascii="宋体" w:hAnsi="宋体" w:cs="宋体"/>
      <w:b/>
      <w:bCs/>
      <w:caps/>
      <w:sz w:val="24"/>
      <w:szCs w:val="24"/>
    </w:rPr>
  </w:style>
  <w:style w:type="paragraph" w:styleId="26">
    <w:name w:val="footnote text"/>
    <w:basedOn w:val="1"/>
    <w:link w:val="113"/>
    <w:qFormat/>
    <w:uiPriority w:val="0"/>
    <w:pPr>
      <w:snapToGrid w:val="0"/>
      <w:jc w:val="left"/>
    </w:pPr>
    <w:rPr>
      <w:sz w:val="18"/>
      <w:szCs w:val="18"/>
    </w:rPr>
  </w:style>
  <w:style w:type="paragraph" w:styleId="27">
    <w:name w:val="Body Text Indent 3"/>
    <w:basedOn w:val="1"/>
    <w:link w:val="108"/>
    <w:qFormat/>
    <w:uiPriority w:val="0"/>
    <w:pPr>
      <w:adjustRightInd w:val="0"/>
      <w:snapToGrid w:val="0"/>
      <w:spacing w:line="360" w:lineRule="auto"/>
      <w:ind w:firstLine="600" w:firstLineChars="200"/>
    </w:pPr>
    <w:rPr>
      <w:rFonts w:asciiTheme="minorHAnsi" w:hAnsiTheme="minorHAnsi" w:eastAsiaTheme="minorEastAsia" w:cstheme="minorBidi"/>
      <w:sz w:val="16"/>
      <w:szCs w:val="16"/>
    </w:rPr>
  </w:style>
  <w:style w:type="paragraph" w:styleId="28">
    <w:name w:val="toc 2"/>
    <w:basedOn w:val="1"/>
    <w:next w:val="1"/>
    <w:qFormat/>
    <w:uiPriority w:val="39"/>
    <w:pPr>
      <w:tabs>
        <w:tab w:val="right" w:leader="dot" w:pos="8400"/>
      </w:tabs>
      <w:ind w:left="210"/>
      <w:jc w:val="left"/>
    </w:pPr>
    <w:rPr>
      <w:rFonts w:ascii="宋体" w:hAnsi="宋体" w:cs="宋体"/>
      <w:b/>
      <w:bCs/>
      <w:smallCaps/>
      <w:sz w:val="24"/>
      <w:szCs w:val="24"/>
    </w:rPr>
  </w:style>
  <w:style w:type="paragraph" w:styleId="29">
    <w:name w:val="Body Text 2"/>
    <w:basedOn w:val="1"/>
    <w:link w:val="84"/>
    <w:qFormat/>
    <w:uiPriority w:val="0"/>
    <w:pPr>
      <w:spacing w:after="120" w:line="480" w:lineRule="auto"/>
    </w:pPr>
    <w:rPr>
      <w:rFonts w:asciiTheme="minorHAnsi" w:hAnsiTheme="minorHAnsi" w:eastAsiaTheme="minorEastAsia" w:cstheme="minorBidi"/>
    </w:rPr>
  </w:style>
  <w:style w:type="paragraph" w:styleId="30">
    <w:name w:val="HTML Preformatted"/>
    <w:basedOn w:val="1"/>
    <w:link w:val="6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theme="minorBidi"/>
      <w:szCs w:val="22"/>
    </w:rPr>
  </w:style>
  <w:style w:type="paragraph" w:styleId="31">
    <w:name w:val="Normal (Web)"/>
    <w:basedOn w:val="1"/>
    <w:qFormat/>
    <w:uiPriority w:val="0"/>
    <w:pPr>
      <w:spacing w:before="100" w:beforeAutospacing="1" w:after="100" w:afterAutospacing="1"/>
      <w:jc w:val="left"/>
    </w:pPr>
    <w:rPr>
      <w:kern w:val="0"/>
      <w:sz w:val="24"/>
    </w:rPr>
  </w:style>
  <w:style w:type="paragraph" w:styleId="32">
    <w:name w:val="index 1"/>
    <w:basedOn w:val="1"/>
    <w:next w:val="1"/>
    <w:semiHidden/>
    <w:qFormat/>
    <w:uiPriority w:val="0"/>
  </w:style>
  <w:style w:type="paragraph" w:styleId="33">
    <w:name w:val="Title"/>
    <w:basedOn w:val="1"/>
    <w:next w:val="1"/>
    <w:link w:val="67"/>
    <w:qFormat/>
    <w:uiPriority w:val="0"/>
    <w:pPr>
      <w:spacing w:before="240" w:after="60"/>
      <w:jc w:val="center"/>
      <w:outlineLvl w:val="0"/>
    </w:pPr>
    <w:rPr>
      <w:rFonts w:ascii="Cambria" w:hAnsi="Cambria" w:eastAsiaTheme="minorEastAsia" w:cstheme="minorBidi"/>
      <w:b/>
      <w:bCs/>
      <w:sz w:val="32"/>
      <w:szCs w:val="32"/>
    </w:rPr>
  </w:style>
  <w:style w:type="paragraph" w:styleId="34">
    <w:name w:val="annotation subject"/>
    <w:basedOn w:val="12"/>
    <w:next w:val="12"/>
    <w:link w:val="70"/>
    <w:qFormat/>
    <w:uiPriority w:val="0"/>
    <w:rPr>
      <w:rFonts w:ascii="Calibri" w:hAnsi="Calibri" w:eastAsiaTheme="minorEastAsia" w:cstheme="minorBidi"/>
      <w:b/>
      <w:bCs/>
      <w:sz w:val="22"/>
      <w:szCs w:val="22"/>
    </w:rPr>
  </w:style>
  <w:style w:type="paragraph" w:styleId="35">
    <w:name w:val="Body Text First Indent"/>
    <w:basedOn w:val="14"/>
    <w:link w:val="112"/>
    <w:qFormat/>
    <w:uiPriority w:val="0"/>
    <w:pPr>
      <w:ind w:firstLine="420" w:firstLineChars="100"/>
    </w:pPr>
    <w:rPr>
      <w:rFonts w:eastAsiaTheme="minorEastAsia"/>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basedOn w:val="38"/>
    <w:qFormat/>
    <w:uiPriority w:val="0"/>
  </w:style>
  <w:style w:type="character" w:styleId="40">
    <w:name w:val="FollowedHyperlink"/>
    <w:basedOn w:val="38"/>
    <w:unhideWhenUsed/>
    <w:qFormat/>
    <w:uiPriority w:val="99"/>
    <w:rPr>
      <w:color w:val="800080" w:themeColor="followedHyperlink"/>
      <w:u w:val="single"/>
      <w14:textFill>
        <w14:solidFill>
          <w14:schemeClr w14:val="folHlink"/>
        </w14:solidFill>
      </w14:textFill>
    </w:rPr>
  </w:style>
  <w:style w:type="character" w:styleId="41">
    <w:name w:val="Emphasis"/>
    <w:basedOn w:val="38"/>
    <w:qFormat/>
    <w:uiPriority w:val="20"/>
  </w:style>
  <w:style w:type="character" w:styleId="42">
    <w:name w:val="HTML Definition"/>
    <w:basedOn w:val="38"/>
    <w:unhideWhenUsed/>
    <w:qFormat/>
    <w:uiPriority w:val="99"/>
  </w:style>
  <w:style w:type="character" w:styleId="43">
    <w:name w:val="HTML Acronym"/>
    <w:basedOn w:val="38"/>
    <w:unhideWhenUsed/>
    <w:qFormat/>
    <w:uiPriority w:val="99"/>
  </w:style>
  <w:style w:type="character" w:styleId="44">
    <w:name w:val="HTML Variable"/>
    <w:basedOn w:val="38"/>
    <w:unhideWhenUsed/>
    <w:qFormat/>
    <w:uiPriority w:val="99"/>
  </w:style>
  <w:style w:type="character" w:styleId="45">
    <w:name w:val="Hyperlink"/>
    <w:basedOn w:val="38"/>
    <w:qFormat/>
    <w:uiPriority w:val="99"/>
    <w:rPr>
      <w:color w:val="333333"/>
      <w:sz w:val="18"/>
      <w:szCs w:val="18"/>
      <w:u w:val="none"/>
    </w:rPr>
  </w:style>
  <w:style w:type="character" w:styleId="46">
    <w:name w:val="HTML Code"/>
    <w:basedOn w:val="38"/>
    <w:unhideWhenUsed/>
    <w:qFormat/>
    <w:uiPriority w:val="99"/>
    <w:rPr>
      <w:rFonts w:ascii="Courier New" w:hAnsi="Courier New"/>
      <w:sz w:val="20"/>
    </w:rPr>
  </w:style>
  <w:style w:type="character" w:styleId="47">
    <w:name w:val="annotation reference"/>
    <w:basedOn w:val="38"/>
    <w:unhideWhenUsed/>
    <w:qFormat/>
    <w:uiPriority w:val="99"/>
    <w:rPr>
      <w:sz w:val="21"/>
      <w:szCs w:val="21"/>
    </w:rPr>
  </w:style>
  <w:style w:type="character" w:styleId="48">
    <w:name w:val="HTML Cite"/>
    <w:basedOn w:val="38"/>
    <w:unhideWhenUsed/>
    <w:qFormat/>
    <w:uiPriority w:val="99"/>
  </w:style>
  <w:style w:type="character" w:styleId="49">
    <w:name w:val="footnote reference"/>
    <w:qFormat/>
    <w:uiPriority w:val="0"/>
    <w:rPr>
      <w:vertAlign w:val="superscript"/>
    </w:rPr>
  </w:style>
  <w:style w:type="character" w:customStyle="1" w:styleId="50">
    <w:name w:val="页眉 Char"/>
    <w:basedOn w:val="38"/>
    <w:link w:val="24"/>
    <w:qFormat/>
    <w:uiPriority w:val="0"/>
    <w:rPr>
      <w:sz w:val="18"/>
      <w:szCs w:val="18"/>
    </w:rPr>
  </w:style>
  <w:style w:type="character" w:customStyle="1" w:styleId="51">
    <w:name w:val="页脚 Char"/>
    <w:basedOn w:val="38"/>
    <w:link w:val="23"/>
    <w:qFormat/>
    <w:uiPriority w:val="99"/>
    <w:rPr>
      <w:sz w:val="18"/>
      <w:szCs w:val="18"/>
    </w:rPr>
  </w:style>
  <w:style w:type="character" w:customStyle="1" w:styleId="52">
    <w:name w:val="标题 1 Char"/>
    <w:basedOn w:val="38"/>
    <w:link w:val="2"/>
    <w:qFormat/>
    <w:uiPriority w:val="0"/>
    <w:rPr>
      <w:rFonts w:ascii="Times New Roman" w:hAnsi="Times New Roman" w:eastAsia="宋体" w:cs="Times New Roman"/>
      <w:b/>
      <w:bCs/>
      <w:kern w:val="44"/>
      <w:sz w:val="32"/>
      <w:szCs w:val="32"/>
    </w:rPr>
  </w:style>
  <w:style w:type="character" w:customStyle="1" w:styleId="53">
    <w:name w:val="标题 2 Char"/>
    <w:basedOn w:val="38"/>
    <w:qFormat/>
    <w:uiPriority w:val="0"/>
    <w:rPr>
      <w:rFonts w:ascii="Arial" w:hAnsi="Arial" w:eastAsia="黑体" w:cs="Arial"/>
      <w:b/>
      <w:bCs/>
      <w:sz w:val="28"/>
      <w:szCs w:val="28"/>
    </w:rPr>
  </w:style>
  <w:style w:type="character" w:customStyle="1" w:styleId="54">
    <w:name w:val="标题 3 Char"/>
    <w:basedOn w:val="38"/>
    <w:link w:val="4"/>
    <w:qFormat/>
    <w:uiPriority w:val="0"/>
    <w:rPr>
      <w:rFonts w:ascii="Times New Roman" w:hAnsi="Times New Roman" w:eastAsia="宋体" w:cs="Times New Roman"/>
      <w:b/>
      <w:bCs/>
      <w:sz w:val="32"/>
      <w:szCs w:val="32"/>
    </w:rPr>
  </w:style>
  <w:style w:type="character" w:customStyle="1" w:styleId="55">
    <w:name w:val="标题 4 Char"/>
    <w:basedOn w:val="38"/>
    <w:link w:val="5"/>
    <w:qFormat/>
    <w:uiPriority w:val="0"/>
    <w:rPr>
      <w:rFonts w:ascii="Cambria" w:hAnsi="Cambria" w:eastAsia="宋体" w:cs="Times New Roman"/>
      <w:b/>
      <w:bCs/>
      <w:sz w:val="28"/>
      <w:szCs w:val="28"/>
    </w:rPr>
  </w:style>
  <w:style w:type="character" w:customStyle="1" w:styleId="56">
    <w:name w:val="标题 5 Char"/>
    <w:basedOn w:val="38"/>
    <w:link w:val="6"/>
    <w:qFormat/>
    <w:uiPriority w:val="0"/>
    <w:rPr>
      <w:rFonts w:ascii="Times New Roman" w:hAnsi="Times New Roman" w:eastAsia="宋体" w:cs="Times New Roman"/>
      <w:b/>
      <w:bCs/>
      <w:sz w:val="28"/>
      <w:szCs w:val="28"/>
    </w:rPr>
  </w:style>
  <w:style w:type="character" w:customStyle="1" w:styleId="57">
    <w:name w:val="标题 6 Char"/>
    <w:basedOn w:val="38"/>
    <w:link w:val="8"/>
    <w:qFormat/>
    <w:uiPriority w:val="0"/>
    <w:rPr>
      <w:rFonts w:ascii="Cambria" w:hAnsi="Cambria" w:eastAsia="宋体" w:cs="Times New Roman"/>
      <w:b/>
      <w:bCs/>
      <w:sz w:val="24"/>
      <w:szCs w:val="24"/>
    </w:rPr>
  </w:style>
  <w:style w:type="character" w:customStyle="1" w:styleId="58">
    <w:name w:val="标题 7 Char"/>
    <w:basedOn w:val="38"/>
    <w:link w:val="9"/>
    <w:qFormat/>
    <w:uiPriority w:val="0"/>
    <w:rPr>
      <w:rFonts w:ascii="Times New Roman" w:hAnsi="Times New Roman" w:eastAsia="宋体" w:cs="Times New Roman"/>
      <w:b/>
      <w:bCs/>
      <w:sz w:val="24"/>
      <w:szCs w:val="24"/>
    </w:rPr>
  </w:style>
  <w:style w:type="character" w:customStyle="1" w:styleId="59">
    <w:name w:val="标题 8 Char"/>
    <w:basedOn w:val="38"/>
    <w:link w:val="10"/>
    <w:qFormat/>
    <w:uiPriority w:val="0"/>
    <w:rPr>
      <w:rFonts w:ascii="Cambria" w:hAnsi="Cambria" w:eastAsia="宋体" w:cs="Times New Roman"/>
      <w:sz w:val="24"/>
      <w:szCs w:val="24"/>
    </w:rPr>
  </w:style>
  <w:style w:type="character" w:customStyle="1" w:styleId="60">
    <w:name w:val="标题 9 Char"/>
    <w:basedOn w:val="38"/>
    <w:link w:val="11"/>
    <w:qFormat/>
    <w:uiPriority w:val="0"/>
    <w:rPr>
      <w:rFonts w:ascii="Cambria" w:hAnsi="Cambria" w:eastAsia="宋体" w:cs="Times New Roman"/>
      <w:szCs w:val="21"/>
    </w:rPr>
  </w:style>
  <w:style w:type="character" w:customStyle="1" w:styleId="61">
    <w:name w:val="正文缩进 Char"/>
    <w:link w:val="7"/>
    <w:qFormat/>
    <w:uiPriority w:val="0"/>
    <w:rPr>
      <w:rFonts w:ascii="Times New Roman" w:hAnsi="Times New Roman" w:eastAsia="宋体" w:cs="Times New Roman"/>
      <w:szCs w:val="21"/>
    </w:rPr>
  </w:style>
  <w:style w:type="character" w:customStyle="1" w:styleId="62">
    <w:name w:val="HTML 预设格式 Char"/>
    <w:qFormat/>
    <w:uiPriority w:val="0"/>
    <w:rPr>
      <w:rFonts w:ascii="黑体" w:hAnsi="Courier New" w:eastAsia="黑体"/>
    </w:rPr>
  </w:style>
  <w:style w:type="character" w:customStyle="1" w:styleId="63">
    <w:name w:val="HTML 预设格式 Char1"/>
    <w:basedOn w:val="38"/>
    <w:link w:val="30"/>
    <w:semiHidden/>
    <w:qFormat/>
    <w:uiPriority w:val="99"/>
    <w:rPr>
      <w:rFonts w:ascii="Courier New" w:hAnsi="Courier New" w:eastAsia="宋体" w:cs="Courier New"/>
      <w:sz w:val="20"/>
      <w:szCs w:val="20"/>
    </w:rPr>
  </w:style>
  <w:style w:type="character" w:customStyle="1" w:styleId="64">
    <w:name w:val="章号 Char Char"/>
    <w:link w:val="65"/>
    <w:qFormat/>
    <w:uiPriority w:val="0"/>
    <w:rPr>
      <w:rFonts w:ascii="仿宋_GB2312" w:hAnsi="方正姚体" w:eastAsia="仿宋_GB2312"/>
      <w:color w:val="000000"/>
      <w:sz w:val="28"/>
      <w:szCs w:val="28"/>
    </w:rPr>
  </w:style>
  <w:style w:type="paragraph" w:customStyle="1" w:styleId="65">
    <w:name w:val="章号"/>
    <w:basedOn w:val="1"/>
    <w:link w:val="64"/>
    <w:qFormat/>
    <w:uiPriority w:val="0"/>
    <w:pPr>
      <w:autoSpaceDE w:val="0"/>
      <w:autoSpaceDN w:val="0"/>
      <w:adjustRightInd w:val="0"/>
      <w:snapToGrid w:val="0"/>
      <w:spacing w:line="360" w:lineRule="auto"/>
      <w:ind w:firstLine="560" w:firstLineChars="200"/>
    </w:pPr>
    <w:rPr>
      <w:rFonts w:ascii="仿宋_GB2312" w:hAnsi="方正姚体" w:eastAsia="仿宋_GB2312" w:cstheme="minorBidi"/>
      <w:color w:val="000000"/>
      <w:sz w:val="28"/>
      <w:szCs w:val="28"/>
    </w:rPr>
  </w:style>
  <w:style w:type="character" w:customStyle="1" w:styleId="66">
    <w:name w:val="标题 Char"/>
    <w:qFormat/>
    <w:uiPriority w:val="0"/>
    <w:rPr>
      <w:rFonts w:ascii="Cambria" w:hAnsi="Cambria"/>
      <w:b/>
      <w:bCs/>
      <w:sz w:val="32"/>
      <w:szCs w:val="32"/>
    </w:rPr>
  </w:style>
  <w:style w:type="character" w:customStyle="1" w:styleId="67">
    <w:name w:val="标题 Char1"/>
    <w:basedOn w:val="38"/>
    <w:link w:val="33"/>
    <w:qFormat/>
    <w:uiPriority w:val="10"/>
    <w:rPr>
      <w:rFonts w:eastAsia="宋体" w:asciiTheme="majorHAnsi" w:hAnsiTheme="majorHAnsi" w:cstheme="majorBidi"/>
      <w:b/>
      <w:bCs/>
      <w:sz w:val="32"/>
      <w:szCs w:val="32"/>
    </w:rPr>
  </w:style>
  <w:style w:type="character" w:customStyle="1" w:styleId="68">
    <w:name w:val="批注主题 Char"/>
    <w:qFormat/>
    <w:uiPriority w:val="0"/>
    <w:rPr>
      <w:rFonts w:ascii="Calibri" w:hAnsi="Calibri"/>
      <w:b/>
      <w:bCs/>
      <w:sz w:val="22"/>
    </w:rPr>
  </w:style>
  <w:style w:type="character" w:customStyle="1" w:styleId="69">
    <w:name w:val="批注文字 Char"/>
    <w:basedOn w:val="38"/>
    <w:link w:val="12"/>
    <w:qFormat/>
    <w:uiPriority w:val="0"/>
    <w:rPr>
      <w:rFonts w:ascii="Times New Roman" w:hAnsi="Times New Roman" w:eastAsia="宋体" w:cs="Times New Roman"/>
      <w:szCs w:val="21"/>
    </w:rPr>
  </w:style>
  <w:style w:type="character" w:customStyle="1" w:styleId="70">
    <w:name w:val="批注主题 Char1"/>
    <w:basedOn w:val="69"/>
    <w:link w:val="34"/>
    <w:semiHidden/>
    <w:qFormat/>
    <w:uiPriority w:val="99"/>
    <w:rPr>
      <w:rFonts w:ascii="Times New Roman" w:hAnsi="Times New Roman" w:eastAsia="宋体" w:cs="Times New Roman"/>
      <w:b/>
      <w:bCs/>
      <w:szCs w:val="21"/>
    </w:rPr>
  </w:style>
  <w:style w:type="character" w:customStyle="1" w:styleId="71">
    <w:name w:val="二部小节 Char Char"/>
    <w:link w:val="72"/>
    <w:qFormat/>
    <w:uiPriority w:val="0"/>
    <w:rPr>
      <w:rFonts w:ascii="仿宋_GB2312" w:hAnsi="方正姚体" w:eastAsia="仿宋_GB2312"/>
      <w:color w:val="000000"/>
      <w:spacing w:val="4"/>
      <w:szCs w:val="21"/>
    </w:rPr>
  </w:style>
  <w:style w:type="paragraph" w:customStyle="1" w:styleId="72">
    <w:name w:val="二部小节"/>
    <w:basedOn w:val="1"/>
    <w:link w:val="71"/>
    <w:qFormat/>
    <w:uiPriority w:val="0"/>
    <w:pPr>
      <w:autoSpaceDE w:val="0"/>
      <w:autoSpaceDN w:val="0"/>
      <w:adjustRightInd w:val="0"/>
      <w:snapToGrid w:val="0"/>
      <w:spacing w:line="360" w:lineRule="auto"/>
      <w:ind w:left="988" w:hanging="420"/>
    </w:pPr>
    <w:rPr>
      <w:rFonts w:ascii="仿宋_GB2312" w:hAnsi="方正姚体" w:eastAsia="仿宋_GB2312" w:cstheme="minorBidi"/>
      <w:color w:val="000000"/>
      <w:spacing w:val="4"/>
    </w:rPr>
  </w:style>
  <w:style w:type="character" w:customStyle="1" w:styleId="73">
    <w:name w:val="投标 2级 Char Char"/>
    <w:link w:val="74"/>
    <w:qFormat/>
    <w:uiPriority w:val="0"/>
    <w:rPr>
      <w:rFonts w:ascii="Cambria" w:hAnsi="Cambria"/>
      <w:b/>
      <w:bCs/>
      <w:sz w:val="26"/>
      <w:szCs w:val="26"/>
    </w:rPr>
  </w:style>
  <w:style w:type="paragraph" w:customStyle="1" w:styleId="74">
    <w:name w:val="投标 2级"/>
    <w:basedOn w:val="3"/>
    <w:link w:val="73"/>
    <w:qFormat/>
    <w:uiPriority w:val="0"/>
    <w:pPr>
      <w:widowControl/>
      <w:adjustRightInd w:val="0"/>
      <w:snapToGrid w:val="0"/>
      <w:spacing w:beforeLines="50" w:after="0" w:line="396" w:lineRule="auto"/>
      <w:ind w:left="567" w:right="150" w:rightChars="150"/>
      <w:jc w:val="left"/>
    </w:pPr>
    <w:rPr>
      <w:rFonts w:ascii="Cambria" w:hAnsi="Cambria" w:eastAsiaTheme="minorEastAsia" w:cstheme="minorBidi"/>
      <w:sz w:val="26"/>
      <w:szCs w:val="26"/>
    </w:rPr>
  </w:style>
  <w:style w:type="character" w:customStyle="1" w:styleId="75">
    <w:name w:val="投标 正文缩进 Char Char"/>
    <w:link w:val="76"/>
    <w:qFormat/>
    <w:uiPriority w:val="0"/>
    <w:rPr>
      <w:rFonts w:ascii="宋体" w:eastAsia="宋体"/>
      <w:spacing w:val="20"/>
      <w:sz w:val="28"/>
      <w:szCs w:val="28"/>
      <w:lang w:val="zh-CN"/>
    </w:rPr>
  </w:style>
  <w:style w:type="paragraph" w:customStyle="1" w:styleId="76">
    <w:name w:val="投标 正文缩进"/>
    <w:basedOn w:val="1"/>
    <w:link w:val="75"/>
    <w:qFormat/>
    <w:uiPriority w:val="0"/>
    <w:pPr>
      <w:adjustRightInd w:val="0"/>
      <w:snapToGrid w:val="0"/>
      <w:spacing w:line="420" w:lineRule="auto"/>
      <w:ind w:left="440" w:leftChars="200" w:right="330" w:rightChars="150" w:firstLine="560" w:firstLineChars="200"/>
      <w:jc w:val="left"/>
    </w:pPr>
    <w:rPr>
      <w:rFonts w:ascii="宋体" w:hAnsiTheme="minorHAnsi" w:cstheme="minorBidi"/>
      <w:spacing w:val="20"/>
      <w:sz w:val="28"/>
      <w:szCs w:val="28"/>
      <w:lang w:val="zh-CN"/>
    </w:rPr>
  </w:style>
  <w:style w:type="character" w:customStyle="1" w:styleId="77">
    <w:name w:val="正文文本 Char"/>
    <w:qFormat/>
    <w:uiPriority w:val="0"/>
    <w:rPr>
      <w:rFonts w:eastAsia="宋体"/>
      <w:szCs w:val="21"/>
    </w:rPr>
  </w:style>
  <w:style w:type="character" w:customStyle="1" w:styleId="78">
    <w:name w:val="正文文本 Char1"/>
    <w:basedOn w:val="38"/>
    <w:link w:val="14"/>
    <w:semiHidden/>
    <w:qFormat/>
    <w:uiPriority w:val="99"/>
    <w:rPr>
      <w:rFonts w:ascii="Times New Roman" w:hAnsi="Times New Roman" w:eastAsia="宋体" w:cs="Times New Roman"/>
      <w:szCs w:val="21"/>
    </w:rPr>
  </w:style>
  <w:style w:type="character" w:customStyle="1" w:styleId="79">
    <w:name w:val="系统概述 Char Char"/>
    <w:link w:val="80"/>
    <w:qFormat/>
    <w:uiPriority w:val="0"/>
    <w:rPr>
      <w:rFonts w:ascii="仿宋_GB2312" w:hAnsi="宋体" w:eastAsia="仿宋_GB2312"/>
      <w:color w:val="000000"/>
      <w:spacing w:val="2"/>
      <w:szCs w:val="21"/>
      <w:lang w:eastAsia="en-US"/>
    </w:rPr>
  </w:style>
  <w:style w:type="paragraph" w:customStyle="1" w:styleId="80">
    <w:name w:val="系统概述"/>
    <w:basedOn w:val="81"/>
    <w:link w:val="79"/>
    <w:qFormat/>
    <w:uiPriority w:val="0"/>
    <w:pPr>
      <w:widowControl w:val="0"/>
      <w:autoSpaceDE w:val="0"/>
      <w:autoSpaceDN w:val="0"/>
      <w:adjustRightInd w:val="0"/>
      <w:snapToGrid w:val="0"/>
      <w:spacing w:after="0" w:line="360" w:lineRule="auto"/>
      <w:ind w:left="2498"/>
      <w:jc w:val="center"/>
    </w:pPr>
    <w:rPr>
      <w:rFonts w:ascii="仿宋_GB2312" w:hAnsi="宋体" w:eastAsia="仿宋_GB2312" w:cstheme="minorBidi"/>
      <w:color w:val="000000"/>
      <w:spacing w:val="2"/>
      <w:kern w:val="2"/>
      <w:sz w:val="21"/>
      <w:szCs w:val="21"/>
    </w:rPr>
  </w:style>
  <w:style w:type="paragraph" w:customStyle="1" w:styleId="81">
    <w:name w:val="列出段落1"/>
    <w:basedOn w:val="1"/>
    <w:link w:val="82"/>
    <w:qFormat/>
    <w:uiPriority w:val="34"/>
    <w:pPr>
      <w:widowControl/>
      <w:spacing w:after="200" w:line="276" w:lineRule="auto"/>
      <w:ind w:left="720"/>
      <w:jc w:val="left"/>
    </w:pPr>
    <w:rPr>
      <w:rFonts w:ascii="Calibri" w:hAnsi="Calibri"/>
      <w:kern w:val="0"/>
      <w:sz w:val="22"/>
      <w:szCs w:val="22"/>
      <w:lang w:eastAsia="en-US"/>
    </w:rPr>
  </w:style>
  <w:style w:type="character" w:customStyle="1" w:styleId="82">
    <w:name w:val="列出段落 Char"/>
    <w:link w:val="81"/>
    <w:qFormat/>
    <w:uiPriority w:val="34"/>
    <w:rPr>
      <w:rFonts w:ascii="Calibri" w:hAnsi="Calibri" w:eastAsia="宋体" w:cs="Times New Roman"/>
      <w:kern w:val="0"/>
      <w:sz w:val="22"/>
      <w:lang w:eastAsia="en-US"/>
    </w:rPr>
  </w:style>
  <w:style w:type="character" w:customStyle="1" w:styleId="83">
    <w:name w:val="正文文本 2 Char"/>
    <w:qFormat/>
    <w:uiPriority w:val="0"/>
    <w:rPr>
      <w:szCs w:val="21"/>
    </w:rPr>
  </w:style>
  <w:style w:type="character" w:customStyle="1" w:styleId="84">
    <w:name w:val="正文文本 2 Char1"/>
    <w:basedOn w:val="38"/>
    <w:link w:val="29"/>
    <w:semiHidden/>
    <w:qFormat/>
    <w:uiPriority w:val="99"/>
    <w:rPr>
      <w:rFonts w:ascii="Times New Roman" w:hAnsi="Times New Roman" w:eastAsia="宋体" w:cs="Times New Roman"/>
      <w:szCs w:val="21"/>
    </w:rPr>
  </w:style>
  <w:style w:type="character" w:customStyle="1" w:styleId="85">
    <w:name w:val="部分号 Char Char"/>
    <w:link w:val="86"/>
    <w:qFormat/>
    <w:uiPriority w:val="0"/>
    <w:rPr>
      <w:rFonts w:ascii="仿宋_GB2312" w:hAnsi="方正姚体" w:eastAsia="仿宋_GB2312"/>
      <w:color w:val="000000"/>
      <w:spacing w:val="7"/>
      <w:sz w:val="36"/>
      <w:szCs w:val="36"/>
    </w:rPr>
  </w:style>
  <w:style w:type="paragraph" w:customStyle="1" w:styleId="86">
    <w:name w:val="部分号"/>
    <w:basedOn w:val="1"/>
    <w:link w:val="85"/>
    <w:qFormat/>
    <w:uiPriority w:val="0"/>
    <w:pPr>
      <w:numPr>
        <w:ilvl w:val="0"/>
        <w:numId w:val="1"/>
      </w:numPr>
      <w:autoSpaceDE w:val="0"/>
      <w:autoSpaceDN w:val="0"/>
      <w:adjustRightInd w:val="0"/>
      <w:snapToGrid w:val="0"/>
      <w:spacing w:line="360" w:lineRule="auto"/>
      <w:ind w:left="0" w:firstLine="748" w:firstLineChars="200"/>
      <w:jc w:val="center"/>
    </w:pPr>
    <w:rPr>
      <w:rFonts w:ascii="仿宋_GB2312" w:hAnsi="方正姚体" w:eastAsia="仿宋_GB2312" w:cstheme="minorBidi"/>
      <w:color w:val="000000"/>
      <w:spacing w:val="7"/>
      <w:sz w:val="36"/>
      <w:szCs w:val="36"/>
    </w:rPr>
  </w:style>
  <w:style w:type="character" w:customStyle="1" w:styleId="87">
    <w:name w:val="日期 Char"/>
    <w:qFormat/>
    <w:uiPriority w:val="0"/>
    <w:rPr>
      <w:rFonts w:eastAsia="黑体"/>
      <w:sz w:val="36"/>
      <w:szCs w:val="36"/>
    </w:rPr>
  </w:style>
  <w:style w:type="character" w:customStyle="1" w:styleId="88">
    <w:name w:val="日期 Char1"/>
    <w:basedOn w:val="38"/>
    <w:link w:val="20"/>
    <w:semiHidden/>
    <w:qFormat/>
    <w:uiPriority w:val="99"/>
    <w:rPr>
      <w:rFonts w:ascii="Times New Roman" w:hAnsi="Times New Roman" w:eastAsia="宋体" w:cs="Times New Roman"/>
      <w:szCs w:val="21"/>
    </w:rPr>
  </w:style>
  <w:style w:type="character" w:customStyle="1" w:styleId="89">
    <w:name w:val="纯文本 Char"/>
    <w:qFormat/>
    <w:uiPriority w:val="0"/>
    <w:rPr>
      <w:rFonts w:ascii="宋体" w:hAnsi="Courier New"/>
      <w:szCs w:val="21"/>
    </w:rPr>
  </w:style>
  <w:style w:type="character" w:customStyle="1" w:styleId="90">
    <w:name w:val="纯文本 Char1"/>
    <w:basedOn w:val="38"/>
    <w:semiHidden/>
    <w:qFormat/>
    <w:uiPriority w:val="99"/>
    <w:rPr>
      <w:rFonts w:ascii="宋体" w:hAnsi="Courier New" w:eastAsia="宋体" w:cs="Courier New"/>
      <w:szCs w:val="21"/>
    </w:rPr>
  </w:style>
  <w:style w:type="character" w:customStyle="1" w:styleId="91">
    <w:name w:val="章节号 Char Char"/>
    <w:link w:val="92"/>
    <w:qFormat/>
    <w:uiPriority w:val="0"/>
    <w:rPr>
      <w:rFonts w:ascii="宋体" w:eastAsia="宋体"/>
      <w:color w:val="000000"/>
      <w:spacing w:val="2"/>
      <w:sz w:val="30"/>
      <w:szCs w:val="30"/>
    </w:rPr>
  </w:style>
  <w:style w:type="paragraph" w:customStyle="1" w:styleId="92">
    <w:name w:val="章节号"/>
    <w:basedOn w:val="1"/>
    <w:link w:val="91"/>
    <w:qFormat/>
    <w:uiPriority w:val="0"/>
    <w:pPr>
      <w:autoSpaceDE w:val="0"/>
      <w:autoSpaceDN w:val="0"/>
      <w:adjustRightInd w:val="0"/>
      <w:snapToGrid w:val="0"/>
      <w:spacing w:line="360" w:lineRule="auto"/>
      <w:ind w:firstLine="608" w:firstLineChars="200"/>
      <w:jc w:val="left"/>
    </w:pPr>
    <w:rPr>
      <w:rFonts w:ascii="宋体" w:hAnsiTheme="minorHAnsi" w:cstheme="minorBidi"/>
      <w:color w:val="000000"/>
      <w:spacing w:val="2"/>
      <w:sz w:val="30"/>
      <w:szCs w:val="30"/>
    </w:rPr>
  </w:style>
  <w:style w:type="character" w:customStyle="1" w:styleId="93">
    <w:name w:val="正文文本缩进 Char"/>
    <w:qFormat/>
    <w:uiPriority w:val="0"/>
    <w:rPr>
      <w:sz w:val="32"/>
      <w:szCs w:val="32"/>
    </w:rPr>
  </w:style>
  <w:style w:type="character" w:customStyle="1" w:styleId="94">
    <w:name w:val="正文文本缩进 Char1"/>
    <w:basedOn w:val="38"/>
    <w:link w:val="15"/>
    <w:semiHidden/>
    <w:qFormat/>
    <w:uiPriority w:val="99"/>
    <w:rPr>
      <w:rFonts w:ascii="Times New Roman" w:hAnsi="Times New Roman" w:eastAsia="宋体" w:cs="Times New Roman"/>
      <w:szCs w:val="21"/>
    </w:rPr>
  </w:style>
  <w:style w:type="character" w:customStyle="1" w:styleId="95">
    <w:name w:val="批注框文本 Char"/>
    <w:qFormat/>
    <w:uiPriority w:val="0"/>
    <w:rPr>
      <w:sz w:val="18"/>
      <w:szCs w:val="18"/>
    </w:rPr>
  </w:style>
  <w:style w:type="character" w:customStyle="1" w:styleId="96">
    <w:name w:val="批注框文本 Char1"/>
    <w:basedOn w:val="38"/>
    <w:link w:val="22"/>
    <w:semiHidden/>
    <w:qFormat/>
    <w:uiPriority w:val="99"/>
    <w:rPr>
      <w:rFonts w:ascii="Times New Roman" w:hAnsi="Times New Roman" w:eastAsia="宋体" w:cs="Times New Roman"/>
      <w:sz w:val="18"/>
      <w:szCs w:val="18"/>
    </w:rPr>
  </w:style>
  <w:style w:type="character" w:customStyle="1" w:styleId="97">
    <w:name w:val="正文文本缩进 2 Char"/>
    <w:qFormat/>
    <w:uiPriority w:val="0"/>
    <w:rPr>
      <w:szCs w:val="21"/>
    </w:rPr>
  </w:style>
  <w:style w:type="character" w:customStyle="1" w:styleId="98">
    <w:name w:val="正文文本缩进 2 Char1"/>
    <w:basedOn w:val="38"/>
    <w:link w:val="21"/>
    <w:semiHidden/>
    <w:qFormat/>
    <w:uiPriority w:val="99"/>
    <w:rPr>
      <w:rFonts w:ascii="Times New Roman" w:hAnsi="Times New Roman" w:eastAsia="宋体" w:cs="Times New Roman"/>
      <w:szCs w:val="21"/>
    </w:rPr>
  </w:style>
  <w:style w:type="character" w:customStyle="1" w:styleId="99">
    <w:name w:val="投标 3级 Char Char"/>
    <w:link w:val="100"/>
    <w:qFormat/>
    <w:uiPriority w:val="0"/>
    <w:rPr>
      <w:rFonts w:ascii="Cambria" w:hAnsi="Cambria"/>
      <w:b/>
      <w:bCs/>
      <w:spacing w:val="20"/>
      <w:sz w:val="22"/>
    </w:rPr>
  </w:style>
  <w:style w:type="paragraph" w:customStyle="1" w:styleId="100">
    <w:name w:val="投标 3级"/>
    <w:basedOn w:val="4"/>
    <w:link w:val="99"/>
    <w:qFormat/>
    <w:uiPriority w:val="0"/>
    <w:pPr>
      <w:keepNext w:val="0"/>
      <w:widowControl/>
      <w:adjustRightInd w:val="0"/>
      <w:snapToGrid w:val="0"/>
      <w:spacing w:beforeLines="50" w:after="0" w:line="420" w:lineRule="auto"/>
      <w:ind w:left="1135" w:right="330" w:rightChars="150"/>
      <w:jc w:val="left"/>
    </w:pPr>
    <w:rPr>
      <w:rFonts w:ascii="Cambria" w:hAnsi="Cambria" w:eastAsiaTheme="minorEastAsia" w:cstheme="minorBidi"/>
      <w:spacing w:val="20"/>
      <w:sz w:val="22"/>
      <w:szCs w:val="22"/>
    </w:rPr>
  </w:style>
  <w:style w:type="character" w:customStyle="1" w:styleId="101">
    <w:name w:val="号正文 Char Char"/>
    <w:link w:val="102"/>
    <w:qFormat/>
    <w:uiPriority w:val="0"/>
    <w:rPr>
      <w:rFonts w:ascii="宋体" w:eastAsia="宋体"/>
      <w:color w:val="000000"/>
      <w:spacing w:val="2"/>
      <w:szCs w:val="21"/>
    </w:rPr>
  </w:style>
  <w:style w:type="paragraph" w:customStyle="1" w:styleId="102">
    <w:name w:val="号正文"/>
    <w:basedOn w:val="1"/>
    <w:link w:val="101"/>
    <w:qFormat/>
    <w:uiPriority w:val="0"/>
    <w:pPr>
      <w:autoSpaceDE w:val="0"/>
      <w:autoSpaceDN w:val="0"/>
      <w:adjustRightInd w:val="0"/>
      <w:snapToGrid w:val="0"/>
      <w:spacing w:line="360" w:lineRule="auto"/>
      <w:ind w:firstLine="428" w:firstLineChars="200"/>
      <w:jc w:val="left"/>
    </w:pPr>
    <w:rPr>
      <w:rFonts w:ascii="宋体" w:hAnsiTheme="minorHAnsi" w:cstheme="minorBidi"/>
      <w:color w:val="000000"/>
      <w:spacing w:val="2"/>
    </w:rPr>
  </w:style>
  <w:style w:type="character" w:customStyle="1" w:styleId="103">
    <w:name w:val="文档结构图 Char Char Char Char"/>
    <w:link w:val="104"/>
    <w:qFormat/>
    <w:uiPriority w:val="0"/>
    <w:rPr>
      <w:rFonts w:ascii="宋体" w:eastAsia="宋体"/>
      <w:color w:val="000000"/>
      <w:spacing w:val="2"/>
      <w:sz w:val="18"/>
      <w:szCs w:val="18"/>
    </w:rPr>
  </w:style>
  <w:style w:type="paragraph" w:customStyle="1" w:styleId="104">
    <w:name w:val="文档结构图 Char Char"/>
    <w:basedOn w:val="1"/>
    <w:link w:val="103"/>
    <w:qFormat/>
    <w:uiPriority w:val="0"/>
    <w:pPr>
      <w:autoSpaceDE w:val="0"/>
      <w:autoSpaceDN w:val="0"/>
      <w:snapToGrid w:val="0"/>
      <w:spacing w:line="360" w:lineRule="auto"/>
      <w:ind w:firstLine="428" w:firstLineChars="200"/>
      <w:jc w:val="left"/>
    </w:pPr>
    <w:rPr>
      <w:rFonts w:ascii="宋体" w:hAnsiTheme="minorHAnsi" w:cstheme="minorBidi"/>
      <w:color w:val="000000"/>
      <w:spacing w:val="2"/>
      <w:sz w:val="18"/>
      <w:szCs w:val="18"/>
    </w:rPr>
  </w:style>
  <w:style w:type="character" w:customStyle="1" w:styleId="105">
    <w:name w:val="小节 Char Char"/>
    <w:link w:val="106"/>
    <w:qFormat/>
    <w:uiPriority w:val="0"/>
    <w:rPr>
      <w:rFonts w:ascii="仿宋_GB2312" w:hAnsi="方正姚体" w:eastAsia="仿宋_GB2312"/>
      <w:color w:val="000000"/>
      <w:spacing w:val="4"/>
      <w:szCs w:val="21"/>
    </w:rPr>
  </w:style>
  <w:style w:type="paragraph" w:customStyle="1" w:styleId="106">
    <w:name w:val="小节"/>
    <w:basedOn w:val="1"/>
    <w:link w:val="105"/>
    <w:qFormat/>
    <w:uiPriority w:val="0"/>
    <w:pPr>
      <w:autoSpaceDE w:val="0"/>
      <w:autoSpaceDN w:val="0"/>
      <w:adjustRightInd w:val="0"/>
      <w:snapToGrid w:val="0"/>
      <w:spacing w:line="360" w:lineRule="auto"/>
      <w:ind w:left="432"/>
    </w:pPr>
    <w:rPr>
      <w:rFonts w:ascii="仿宋_GB2312" w:hAnsi="方正姚体" w:eastAsia="仿宋_GB2312" w:cstheme="minorBidi"/>
      <w:color w:val="000000"/>
      <w:spacing w:val="4"/>
    </w:rPr>
  </w:style>
  <w:style w:type="character" w:customStyle="1" w:styleId="107">
    <w:name w:val="正文文本缩进 3 Char"/>
    <w:qFormat/>
    <w:uiPriority w:val="0"/>
    <w:rPr>
      <w:sz w:val="16"/>
      <w:szCs w:val="16"/>
    </w:rPr>
  </w:style>
  <w:style w:type="character" w:customStyle="1" w:styleId="108">
    <w:name w:val="正文文本缩进 3 Char1"/>
    <w:basedOn w:val="38"/>
    <w:link w:val="27"/>
    <w:semiHidden/>
    <w:qFormat/>
    <w:uiPriority w:val="99"/>
    <w:rPr>
      <w:rFonts w:ascii="Times New Roman" w:hAnsi="Times New Roman" w:eastAsia="宋体" w:cs="Times New Roman"/>
      <w:sz w:val="16"/>
      <w:szCs w:val="16"/>
    </w:rPr>
  </w:style>
  <w:style w:type="character" w:customStyle="1" w:styleId="109">
    <w:name w:val="正文文本 3 Char"/>
    <w:qFormat/>
    <w:uiPriority w:val="0"/>
    <w:rPr>
      <w:sz w:val="16"/>
      <w:szCs w:val="16"/>
    </w:rPr>
  </w:style>
  <w:style w:type="character" w:customStyle="1" w:styleId="110">
    <w:name w:val="正文文本 3 Char1"/>
    <w:basedOn w:val="38"/>
    <w:link w:val="13"/>
    <w:semiHidden/>
    <w:qFormat/>
    <w:uiPriority w:val="99"/>
    <w:rPr>
      <w:rFonts w:ascii="Times New Roman" w:hAnsi="Times New Roman" w:eastAsia="宋体" w:cs="Times New Roman"/>
      <w:sz w:val="16"/>
      <w:szCs w:val="16"/>
    </w:rPr>
  </w:style>
  <w:style w:type="character" w:customStyle="1" w:styleId="111">
    <w:name w:val="正文首行缩进 Char"/>
    <w:qFormat/>
    <w:uiPriority w:val="0"/>
    <w:rPr>
      <w:szCs w:val="21"/>
    </w:rPr>
  </w:style>
  <w:style w:type="character" w:customStyle="1" w:styleId="112">
    <w:name w:val="正文首行缩进 Char1"/>
    <w:basedOn w:val="78"/>
    <w:link w:val="35"/>
    <w:semiHidden/>
    <w:qFormat/>
    <w:uiPriority w:val="99"/>
    <w:rPr>
      <w:rFonts w:ascii="Times New Roman" w:hAnsi="Times New Roman" w:eastAsia="宋体" w:cs="Times New Roman"/>
      <w:szCs w:val="21"/>
    </w:rPr>
  </w:style>
  <w:style w:type="character" w:customStyle="1" w:styleId="113">
    <w:name w:val="脚注文本 Char"/>
    <w:basedOn w:val="38"/>
    <w:link w:val="26"/>
    <w:qFormat/>
    <w:uiPriority w:val="0"/>
    <w:rPr>
      <w:rFonts w:ascii="Times New Roman" w:hAnsi="Times New Roman" w:eastAsia="宋体" w:cs="Times New Roman"/>
      <w:sz w:val="18"/>
      <w:szCs w:val="18"/>
    </w:rPr>
  </w:style>
  <w:style w:type="paragraph" w:customStyle="1" w:styleId="114">
    <w:name w:val="CM77"/>
    <w:basedOn w:val="115"/>
    <w:next w:val="115"/>
    <w:unhideWhenUsed/>
    <w:qFormat/>
    <w:uiPriority w:val="99"/>
    <w:rPr>
      <w:rFonts w:hint="default"/>
    </w:rPr>
  </w:style>
  <w:style w:type="paragraph" w:customStyle="1" w:styleId="115">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2"/>
      <w:lang w:val="en-US" w:eastAsia="zh-CN" w:bidi="ar-SA"/>
    </w:rPr>
  </w:style>
  <w:style w:type="paragraph" w:customStyle="1" w:styleId="116">
    <w:name w:val="Char2"/>
    <w:basedOn w:val="1"/>
    <w:qFormat/>
    <w:uiPriority w:val="0"/>
    <w:rPr>
      <w:rFonts w:ascii="宋体"/>
      <w:kern w:val="0"/>
      <w:sz w:val="24"/>
      <w:szCs w:val="24"/>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表格"/>
    <w:basedOn w:val="1"/>
    <w:qFormat/>
    <w:uiPriority w:val="0"/>
    <w:pPr>
      <w:spacing w:line="400" w:lineRule="exact"/>
    </w:pPr>
    <w:rPr>
      <w:sz w:val="24"/>
      <w:szCs w:val="24"/>
    </w:rPr>
  </w:style>
  <w:style w:type="paragraph" w:customStyle="1" w:styleId="119">
    <w:name w:val="CM1"/>
    <w:basedOn w:val="115"/>
    <w:next w:val="115"/>
    <w:unhideWhenUsed/>
    <w:qFormat/>
    <w:uiPriority w:val="99"/>
    <w:rPr>
      <w:rFonts w:hint="default"/>
    </w:rPr>
  </w:style>
  <w:style w:type="paragraph" w:customStyle="1" w:styleId="120">
    <w:name w:val="CM83"/>
    <w:basedOn w:val="115"/>
    <w:next w:val="115"/>
    <w:unhideWhenUsed/>
    <w:qFormat/>
    <w:uiPriority w:val="99"/>
    <w:rPr>
      <w:rFonts w:hint="default"/>
    </w:rPr>
  </w:style>
  <w:style w:type="paragraph" w:customStyle="1" w:styleId="121">
    <w:name w:val="TOC 标题1"/>
    <w:basedOn w:val="2"/>
    <w:next w:val="1"/>
    <w:qFormat/>
    <w:uiPriority w:val="39"/>
    <w:pPr>
      <w:spacing w:before="480" w:after="0" w:line="276" w:lineRule="auto"/>
      <w:outlineLvl w:val="9"/>
    </w:pPr>
    <w:rPr>
      <w:rFonts w:ascii="Cambria" w:hAnsi="Cambria"/>
      <w:color w:val="365F91"/>
      <w:kern w:val="0"/>
      <w:sz w:val="28"/>
      <w:szCs w:val="28"/>
    </w:rPr>
  </w:style>
  <w:style w:type="paragraph" w:customStyle="1" w:styleId="122">
    <w:name w:val="_Style 110"/>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列出段落11"/>
    <w:basedOn w:val="1"/>
    <w:qFormat/>
    <w:uiPriority w:val="34"/>
    <w:pPr>
      <w:ind w:firstLine="420" w:firstLineChars="200"/>
    </w:pPr>
  </w:style>
  <w:style w:type="character" w:customStyle="1" w:styleId="124">
    <w:name w:val="layui-layer-tabnow"/>
    <w:basedOn w:val="38"/>
    <w:qFormat/>
    <w:uiPriority w:val="0"/>
    <w:rPr>
      <w:bdr w:val="single" w:color="CCCCCC" w:sz="6" w:space="0"/>
      <w:shd w:val="clear" w:color="auto" w:fill="FFFFFF"/>
    </w:rPr>
  </w:style>
  <w:style w:type="character" w:customStyle="1" w:styleId="125">
    <w:name w:val="zfbpay"/>
    <w:basedOn w:val="38"/>
    <w:qFormat/>
    <w:uiPriority w:val="0"/>
  </w:style>
  <w:style w:type="character" w:customStyle="1" w:styleId="126">
    <w:name w:val="upload"/>
    <w:basedOn w:val="38"/>
    <w:qFormat/>
    <w:uiPriority w:val="0"/>
  </w:style>
  <w:style w:type="character" w:customStyle="1" w:styleId="127">
    <w:name w:val="first-child"/>
    <w:basedOn w:val="38"/>
    <w:qFormat/>
    <w:uiPriority w:val="0"/>
  </w:style>
  <w:style w:type="character" w:customStyle="1" w:styleId="128">
    <w:name w:val="fr"/>
    <w:basedOn w:val="38"/>
    <w:qFormat/>
    <w:uiPriority w:val="0"/>
  </w:style>
  <w:style w:type="character" w:customStyle="1" w:styleId="129">
    <w:name w:val="hover40"/>
    <w:basedOn w:val="38"/>
    <w:qFormat/>
    <w:uiPriority w:val="0"/>
  </w:style>
  <w:style w:type="character" w:customStyle="1" w:styleId="130">
    <w:name w:val="navselect"/>
    <w:basedOn w:val="38"/>
    <w:qFormat/>
    <w:uiPriority w:val="0"/>
    <w:rPr>
      <w:color w:val="333333"/>
      <w:bdr w:val="single" w:color="FF7700" w:sz="6" w:space="0"/>
      <w:shd w:val="clear" w:color="auto" w:fill="FFFFFF"/>
    </w:rPr>
  </w:style>
  <w:style w:type="character" w:customStyle="1" w:styleId="131">
    <w:name w:val="qqpay"/>
    <w:basedOn w:val="38"/>
    <w:qFormat/>
    <w:uiPriority w:val="0"/>
  </w:style>
  <w:style w:type="character" w:customStyle="1" w:styleId="132">
    <w:name w:val="input"/>
    <w:basedOn w:val="38"/>
    <w:qFormat/>
    <w:uiPriority w:val="0"/>
  </w:style>
  <w:style w:type="character" w:customStyle="1" w:styleId="133">
    <w:name w:val="password"/>
    <w:basedOn w:val="38"/>
    <w:qFormat/>
    <w:uiPriority w:val="0"/>
  </w:style>
  <w:style w:type="character" w:customStyle="1" w:styleId="134">
    <w:name w:val="authcode"/>
    <w:basedOn w:val="38"/>
    <w:qFormat/>
    <w:uiPriority w:val="0"/>
  </w:style>
  <w:style w:type="character" w:customStyle="1" w:styleId="135">
    <w:name w:val="update"/>
    <w:basedOn w:val="38"/>
    <w:qFormat/>
    <w:uiPriority w:val="0"/>
  </w:style>
  <w:style w:type="character" w:customStyle="1" w:styleId="136">
    <w:name w:val="doc"/>
    <w:basedOn w:val="38"/>
    <w:qFormat/>
    <w:uiPriority w:val="0"/>
  </w:style>
  <w:style w:type="character" w:customStyle="1" w:styleId="137">
    <w:name w:val="pages"/>
    <w:basedOn w:val="38"/>
    <w:qFormat/>
    <w:uiPriority w:val="0"/>
    <w:rPr>
      <w:color w:val="999999"/>
    </w:rPr>
  </w:style>
  <w:style w:type="character" w:customStyle="1" w:styleId="138">
    <w:name w:val="onpay"/>
    <w:basedOn w:val="38"/>
    <w:qFormat/>
    <w:uiPriority w:val="0"/>
    <w:rPr>
      <w:bdr w:val="single" w:color="F69C00" w:sz="18" w:space="0"/>
    </w:rPr>
  </w:style>
  <w:style w:type="character" w:customStyle="1" w:styleId="139">
    <w:name w:val="wxpay"/>
    <w:basedOn w:val="38"/>
    <w:qFormat/>
    <w:uiPriority w:val="0"/>
  </w:style>
  <w:style w:type="character" w:customStyle="1" w:styleId="140">
    <w:name w:val="wxstandby"/>
    <w:basedOn w:val="38"/>
    <w:qFormat/>
    <w:uiPriority w:val="0"/>
  </w:style>
  <w:style w:type="character" w:customStyle="1" w:styleId="141">
    <w:name w:val="weixin-standby-icon"/>
    <w:basedOn w:val="38"/>
    <w:qFormat/>
    <w:uiPriority w:val="0"/>
  </w:style>
  <w:style w:type="character" w:customStyle="1" w:styleId="142">
    <w:name w:val="weixin-icon"/>
    <w:basedOn w:val="38"/>
    <w:qFormat/>
    <w:uiPriority w:val="0"/>
  </w:style>
  <w:style w:type="character" w:customStyle="1" w:styleId="143">
    <w:name w:val="dec"/>
    <w:basedOn w:val="38"/>
    <w:qFormat/>
    <w:uiPriority w:val="0"/>
  </w:style>
  <w:style w:type="character" w:customStyle="1" w:styleId="144">
    <w:name w:val="red5"/>
    <w:basedOn w:val="38"/>
    <w:qFormat/>
    <w:uiPriority w:val="0"/>
    <w:rPr>
      <w:color w:val="FF0000"/>
    </w:rPr>
  </w:style>
  <w:style w:type="character" w:customStyle="1" w:styleId="145">
    <w:name w:val="layui-layer-tabnow2"/>
    <w:basedOn w:val="38"/>
    <w:qFormat/>
    <w:uiPriority w:val="0"/>
    <w:rPr>
      <w:bdr w:val="single" w:color="CCCCCC" w:sz="6" w:space="0"/>
      <w:shd w:val="clear" w:color="auto" w:fill="FFFFFF"/>
    </w:rPr>
  </w:style>
  <w:style w:type="character" w:customStyle="1" w:styleId="146">
    <w:name w:val="hover45"/>
    <w:basedOn w:val="38"/>
    <w:qFormat/>
    <w:uiPriority w:val="0"/>
  </w:style>
  <w:style w:type="character" w:customStyle="1" w:styleId="147">
    <w:name w:val="doc1"/>
    <w:basedOn w:val="38"/>
    <w:qFormat/>
    <w:uiPriority w:val="0"/>
  </w:style>
  <w:style w:type="character" w:customStyle="1" w:styleId="148">
    <w:name w:val="hover44"/>
    <w:basedOn w:val="38"/>
    <w:qFormat/>
    <w:uiPriority w:val="0"/>
  </w:style>
  <w:style w:type="character" w:customStyle="1" w:styleId="149">
    <w:name w:val="red"/>
    <w:basedOn w:val="38"/>
    <w:qFormat/>
    <w:uiPriority w:val="0"/>
    <w:rPr>
      <w:color w:val="FF0000"/>
    </w:rPr>
  </w:style>
  <w:style w:type="character" w:customStyle="1" w:styleId="150">
    <w:name w:val="red1"/>
    <w:basedOn w:val="38"/>
    <w:qFormat/>
    <w:uiPriority w:val="0"/>
    <w:rPr>
      <w:color w:val="FF0000"/>
    </w:rPr>
  </w:style>
  <w:style w:type="character" w:customStyle="1" w:styleId="151">
    <w:name w:val="red4"/>
    <w:basedOn w:val="38"/>
    <w:qFormat/>
    <w:uiPriority w:val="0"/>
    <w:rPr>
      <w:color w:val="FF0000"/>
    </w:rPr>
  </w:style>
  <w:style w:type="character" w:customStyle="1" w:styleId="152">
    <w:name w:val="hover41"/>
    <w:basedOn w:val="38"/>
    <w:qFormat/>
    <w:uiPriority w:val="0"/>
  </w:style>
  <w:style w:type="character" w:customStyle="1" w:styleId="153">
    <w:name w:val="red2"/>
    <w:basedOn w:val="38"/>
    <w:qFormat/>
    <w:uiPriority w:val="0"/>
    <w:rPr>
      <w:color w:val="FF0000"/>
    </w:rPr>
  </w:style>
  <w:style w:type="character" w:customStyle="1" w:styleId="154">
    <w:name w:val="hover43"/>
    <w:basedOn w:val="38"/>
    <w:qFormat/>
    <w:uiPriority w:val="0"/>
  </w:style>
  <w:style w:type="table" w:customStyle="1" w:styleId="155">
    <w:name w:val="TableGrid"/>
    <w:qFormat/>
    <w:uiPriority w:val="0"/>
    <w:tblPr>
      <w:tblCellMar>
        <w:top w:w="0" w:type="dxa"/>
        <w:left w:w="0" w:type="dxa"/>
        <w:bottom w:w="0" w:type="dxa"/>
        <w:right w:w="0" w:type="dxa"/>
      </w:tblCellMar>
    </w:tblPr>
  </w:style>
  <w:style w:type="character" w:customStyle="1" w:styleId="156">
    <w:name w:val="标题 2 Char1"/>
    <w:basedOn w:val="38"/>
    <w:link w:val="3"/>
    <w:uiPriority w:val="0"/>
    <w:rPr>
      <w:rFonts w:hint="default" w:ascii="Arial" w:hAnsi="Arial" w:eastAsia="黑体" w:cs="Arial"/>
      <w:b/>
      <w:kern w:val="2"/>
      <w:sz w:val="32"/>
      <w:szCs w:val="32"/>
    </w:rPr>
  </w:style>
  <w:style w:type="character" w:customStyle="1" w:styleId="157">
    <w:name w:val="纯文本 字符"/>
    <w:basedOn w:val="38"/>
    <w:qFormat/>
    <w:uiPriority w:val="0"/>
    <w:rPr>
      <w:rFonts w:hint="eastAsia" w:ascii="宋体" w:hAnsi="Courier New" w:eastAsia="宋体" w:cs="Courier New"/>
      <w:kern w:val="2"/>
      <w:sz w:val="21"/>
      <w:szCs w:val="21"/>
    </w:rPr>
  </w:style>
  <w:style w:type="character" w:customStyle="1" w:styleId="158">
    <w:name w:val="纯文本 Char2"/>
    <w:basedOn w:val="38"/>
    <w:link w:val="19"/>
    <w:uiPriority w:val="0"/>
    <w:rPr>
      <w:rFonts w:hint="eastAsia" w:ascii="宋体" w:hAnsi="Courier New" w:eastAsia="宋体" w:cs="宋体"/>
      <w:kern w:val="2"/>
      <w:sz w:val="21"/>
      <w:szCs w:val="22"/>
    </w:rPr>
  </w:style>
  <w:style w:type="paragraph" w:customStyle="1" w:styleId="159">
    <w:name w:val="标题2"/>
    <w:basedOn w:val="3"/>
    <w:qFormat/>
    <w:uiPriority w:val="0"/>
    <w:pPr>
      <w:spacing w:before="0" w:line="360" w:lineRule="auto"/>
      <w:contextualSpacing/>
    </w:pPr>
    <w:rPr>
      <w:rFonts w:ascii="宋体" w:hAnsi="宋体" w:eastAsia="宋体"/>
      <w:sz w:val="21"/>
      <w:szCs w:val="21"/>
    </w:rPr>
  </w:style>
  <w:style w:type="paragraph" w:customStyle="1" w:styleId="160">
    <w:name w:val="标题3"/>
    <w:basedOn w:val="4"/>
    <w:qFormat/>
    <w:uiPriority w:val="0"/>
    <w:pPr>
      <w:spacing w:before="0" w:after="0" w:line="360" w:lineRule="auto"/>
      <w:contextualSpacing/>
    </w:pPr>
    <w:rPr>
      <w:rFonts w:ascii="宋体" w:hAnsi="宋体"/>
      <w:sz w:val="21"/>
      <w:szCs w:val="21"/>
    </w:rPr>
  </w:style>
  <w:style w:type="paragraph" w:customStyle="1" w:styleId="161">
    <w:name w:val="样式 样式 样式 样式 标题 2 + 宋体 五号 非加粗 黑色 + 段前: 6 磅 段后: 0 磅 行距: 单倍行距 + 段前:..."/>
    <w:basedOn w:val="1"/>
    <w:qFormat/>
    <w:uiPriority w:val="0"/>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162">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A656-5ED7-4F74-B6CA-8E5ACC7FE276}">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49</Pages>
  <Words>3050</Words>
  <Characters>17391</Characters>
  <Lines>144</Lines>
  <Paragraphs>40</Paragraphs>
  <TotalTime>9</TotalTime>
  <ScaleCrop>false</ScaleCrop>
  <LinksUpToDate>false</LinksUpToDate>
  <CharactersWithSpaces>20401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2017-11-07T08:19:00Z</dcterms:created>
  <dc:creator>HP</dc:creator>
  <cp:lastModifiedBy>lenovo</cp:lastModifiedBy>
  <cp:lastPrinted>2019-10-16T09:07:00Z</cp:lastPrinted>
  <dcterms:modified xsi:type="dcterms:W3CDTF">2020-05-15T02:26:42Z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